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38723" w14:textId="77777777" w:rsidR="008E22ED" w:rsidRDefault="00000000">
      <w:pPr>
        <w:rPr>
          <w:b/>
          <w:color w:val="2779BF"/>
          <w:sz w:val="17"/>
          <w:szCs w:val="17"/>
        </w:rPr>
      </w:pPr>
      <w:r>
        <w:rPr>
          <w:b/>
          <w:color w:val="2779BF"/>
          <w:sz w:val="36"/>
          <w:szCs w:val="36"/>
        </w:rPr>
        <w:t xml:space="preserve">Measuring Social and Emotional Competencies: </w:t>
      </w:r>
      <w:r>
        <w:rPr>
          <w:b/>
          <w:color w:val="2779BF"/>
          <w:sz w:val="36"/>
          <w:szCs w:val="36"/>
        </w:rPr>
        <w:br/>
      </w:r>
      <w:r>
        <w:rPr>
          <w:b/>
          <w:color w:val="2779BF"/>
        </w:rPr>
        <w:t>How to select a tool for assessing student social and emotional competencies</w:t>
      </w:r>
      <w:r>
        <w:rPr>
          <w:b/>
          <w:color w:val="2779BF"/>
          <w:sz w:val="28"/>
          <w:szCs w:val="28"/>
        </w:rPr>
        <w:br/>
      </w:r>
      <w:r>
        <w:rPr>
          <w:color w:val="000000"/>
          <w:sz w:val="17"/>
          <w:szCs w:val="17"/>
        </w:rPr>
        <w:t xml:space="preserve">excerpted and adapted from </w:t>
      </w:r>
      <w:hyperlink r:id="rId8">
        <w:r>
          <w:rPr>
            <w:color w:val="467886"/>
            <w:sz w:val="17"/>
            <w:szCs w:val="17"/>
            <w:u w:val="single"/>
          </w:rPr>
          <w:t>Choosing and Using SEL Competency Assessments: What Schools and Districts Need to Know</w:t>
        </w:r>
      </w:hyperlink>
    </w:p>
    <w:p w14:paraId="31B40F8D" w14:textId="77777777" w:rsidR="008E22ED" w:rsidRDefault="008E22ED">
      <w:pPr>
        <w:rPr>
          <w:b/>
          <w:color w:val="2779BF"/>
          <w:sz w:val="22"/>
          <w:szCs w:val="22"/>
        </w:rPr>
      </w:pPr>
    </w:p>
    <w:p w14:paraId="63C552C9" w14:textId="77777777" w:rsidR="008E22ED" w:rsidRDefault="00000000">
      <w:pPr>
        <w:rPr>
          <w:b/>
          <w:color w:val="2779BF"/>
          <w:sz w:val="22"/>
          <w:szCs w:val="22"/>
        </w:rPr>
      </w:pPr>
      <w:r>
        <w:rPr>
          <w:b/>
          <w:color w:val="2779BF"/>
          <w:sz w:val="22"/>
          <w:szCs w:val="22"/>
        </w:rPr>
        <w:t xml:space="preserve">How do you know if your SEL efforts are making a positive impact on students? </w:t>
      </w:r>
    </w:p>
    <w:p w14:paraId="2405DC90" w14:textId="77777777" w:rsidR="008E22ED" w:rsidRDefault="00000000">
      <w:pPr>
        <w:rPr>
          <w:sz w:val="22"/>
          <w:szCs w:val="22"/>
        </w:rPr>
      </w:pPr>
      <w:r>
        <w:rPr>
          <w:sz w:val="22"/>
          <w:szCs w:val="22"/>
        </w:rPr>
        <w:t xml:space="preserve">Answering this question requires measurement of your implementation efforts and of the outcomes you are working toward in those SEL efforts. Most commonly, the outcomes we hope to achieve through SEL include student growth in social and emotional competencies. This tool walks through considerations and best practices for selecting and using measurement tools for assessing social and emotional competencies. </w:t>
      </w:r>
    </w:p>
    <w:p w14:paraId="0FEB373D" w14:textId="77777777" w:rsidR="008E22ED" w:rsidRDefault="008E22ED">
      <w:pPr>
        <w:rPr>
          <w:b/>
          <w:color w:val="2779BF"/>
          <w:sz w:val="28"/>
          <w:szCs w:val="28"/>
        </w:rPr>
      </w:pPr>
    </w:p>
    <w:p w14:paraId="4DB2D81B" w14:textId="77777777" w:rsidR="008E22ED" w:rsidRDefault="00000000">
      <w:pPr>
        <w:rPr>
          <w:b/>
          <w:color w:val="2779BF"/>
          <w:sz w:val="28"/>
          <w:szCs w:val="28"/>
          <w:u w:val="single"/>
        </w:rPr>
      </w:pPr>
      <w:r>
        <w:rPr>
          <w:b/>
          <w:color w:val="2779BF"/>
          <w:sz w:val="28"/>
          <w:szCs w:val="28"/>
          <w:u w:val="single"/>
        </w:rPr>
        <w:t xml:space="preserve">First, determine if what you need is a social and emotional competency assessment. </w:t>
      </w:r>
    </w:p>
    <w:p w14:paraId="61195F72" w14:textId="77777777" w:rsidR="008E22ED" w:rsidRDefault="008E22ED">
      <w:pPr>
        <w:rPr>
          <w:b/>
          <w:color w:val="2779BF"/>
          <w:sz w:val="22"/>
          <w:szCs w:val="22"/>
        </w:rPr>
      </w:pPr>
    </w:p>
    <w:p w14:paraId="256F77E0" w14:textId="77777777" w:rsidR="008E22ED" w:rsidRDefault="00000000">
      <w:pPr>
        <w:rPr>
          <w:b/>
          <w:color w:val="2779BF"/>
          <w:sz w:val="22"/>
          <w:szCs w:val="22"/>
        </w:rPr>
      </w:pPr>
      <w:r>
        <w:rPr>
          <w:b/>
          <w:color w:val="2779BF"/>
          <w:sz w:val="22"/>
          <w:szCs w:val="22"/>
        </w:rPr>
        <w:t>What is a social and emotional competency assessment?</w:t>
      </w:r>
    </w:p>
    <w:p w14:paraId="40568F96" w14:textId="77777777" w:rsidR="008E22ED" w:rsidRDefault="00000000">
      <w:pPr>
        <w:rPr>
          <w:b/>
          <w:color w:val="2779BF"/>
          <w:sz w:val="22"/>
          <w:szCs w:val="22"/>
        </w:rPr>
      </w:pPr>
      <w:r>
        <w:rPr>
          <w:sz w:val="22"/>
          <w:szCs w:val="22"/>
        </w:rPr>
        <w:t>Social and emotional competency assessments are designed to help educators understand the impact of their SEL efforts on student growth and development. How are students, across the board, growing in their social and emotional competence, and what adjustments need to be made to universal, Tier 1 SEL efforts?</w:t>
      </w:r>
    </w:p>
    <w:p w14:paraId="53CF44B5" w14:textId="77777777" w:rsidR="008E22ED" w:rsidRDefault="008E22ED"/>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E22ED" w14:paraId="577124D7" w14:textId="77777777">
        <w:tc>
          <w:tcPr>
            <w:tcW w:w="9350" w:type="dxa"/>
            <w:shd w:val="clear" w:color="auto" w:fill="BCE0FF"/>
          </w:tcPr>
          <w:p w14:paraId="518BBE14" w14:textId="77777777" w:rsidR="008E22ED" w:rsidRDefault="00000000">
            <w:pPr>
              <w:rPr>
                <w:b/>
              </w:rPr>
            </w:pPr>
            <w:r>
              <w:rPr>
                <w:b/>
              </w:rPr>
              <w:t xml:space="preserve">Is a social and emotional competency assessment what you need? </w:t>
            </w:r>
          </w:p>
          <w:p w14:paraId="7907D570" w14:textId="77777777" w:rsidR="008E22ED" w:rsidRDefault="00000000">
            <w:pPr>
              <w:rPr>
                <w:b/>
              </w:rPr>
            </w:pPr>
            <w:r>
              <w:rPr>
                <w:b/>
              </w:rPr>
              <w:t>The answer may be no, if …</w:t>
            </w:r>
          </w:p>
          <w:p w14:paraId="3C94112A" w14:textId="7811AFCB" w:rsidR="008E22ED" w:rsidRDefault="00000000">
            <w:pPr>
              <w:numPr>
                <w:ilvl w:val="0"/>
                <w:numId w:val="5"/>
              </w:numPr>
              <w:rPr>
                <w:sz w:val="22"/>
                <w:szCs w:val="22"/>
              </w:rPr>
            </w:pPr>
            <w:r>
              <w:rPr>
                <w:i/>
                <w:sz w:val="22"/>
                <w:szCs w:val="22"/>
              </w:rPr>
              <w:t>You are aiming to identify students with behavioral or emotional problems.</w:t>
            </w:r>
            <w:r>
              <w:rPr>
                <w:sz w:val="22"/>
                <w:szCs w:val="22"/>
              </w:rPr>
              <w:t xml:space="preserve"> Some tools are designed for diagnostic purposes, but </w:t>
            </w:r>
            <w:r>
              <w:rPr>
                <w:b/>
                <w:sz w:val="22"/>
                <w:szCs w:val="22"/>
              </w:rPr>
              <w:t>social and emotional competency assessments are not designed for this.</w:t>
            </w:r>
            <w:r>
              <w:rPr>
                <w:sz w:val="22"/>
                <w:szCs w:val="22"/>
              </w:rPr>
              <w:t xml:space="preserve"> If you are looking to identify students in need of additional support based on emotional or behavioral problems, seek out a mental or behavioral health screener or other diagnostic tool developed specifically for that purpose (see</w:t>
            </w:r>
            <w:r w:rsidR="00CC7A9A">
              <w:t xml:space="preserve"> </w:t>
            </w:r>
            <w:hyperlink w:anchor="bookmark=id.bt2cdhs78mal" w:history="1">
              <w:r w:rsidR="00CC7A9A" w:rsidRPr="00CC7A9A">
                <w:rPr>
                  <w:rStyle w:val="Hyperlink"/>
                </w:rPr>
                <w:t>pag</w:t>
              </w:r>
              <w:r w:rsidR="00CC7A9A" w:rsidRPr="00CC7A9A">
                <w:rPr>
                  <w:rStyle w:val="Hyperlink"/>
                </w:rPr>
                <w:t>e</w:t>
              </w:r>
              <w:r w:rsidR="00CC7A9A" w:rsidRPr="00CC7A9A">
                <w:rPr>
                  <w:rStyle w:val="Hyperlink"/>
                </w:rPr>
                <w:t xml:space="preserve"> 5</w:t>
              </w:r>
            </w:hyperlink>
            <w:r>
              <w:rPr>
                <w:sz w:val="22"/>
                <w:szCs w:val="22"/>
              </w:rPr>
              <w:t>).</w:t>
            </w:r>
          </w:p>
          <w:p w14:paraId="17634C41" w14:textId="77777777" w:rsidR="008E22ED" w:rsidRDefault="00000000">
            <w:pPr>
              <w:numPr>
                <w:ilvl w:val="0"/>
                <w:numId w:val="5"/>
              </w:numPr>
            </w:pPr>
            <w:r>
              <w:rPr>
                <w:i/>
                <w:sz w:val="22"/>
                <w:szCs w:val="22"/>
              </w:rPr>
              <w:t>You are aiming to include SEL as part of a formal evaluation of schools or teachers.</w:t>
            </w:r>
            <w:r>
              <w:rPr>
                <w:sz w:val="22"/>
                <w:szCs w:val="22"/>
              </w:rPr>
              <w:t xml:space="preserve"> </w:t>
            </w:r>
            <w:r>
              <w:rPr>
                <w:b/>
                <w:sz w:val="22"/>
                <w:szCs w:val="22"/>
              </w:rPr>
              <w:t>CASEL does not recommend using social and emotional competency assessments for ratings or accountability,</w:t>
            </w:r>
            <w:r>
              <w:rPr>
                <w:sz w:val="22"/>
                <w:szCs w:val="22"/>
              </w:rPr>
              <w:t xml:space="preserve"> such as a state accountability system, school scorecards, or teacher evaluation. Most social and emotional competency assessments were not developed for the purpose of comparing schools, and little research exists to determine whether currently available assessments have the precision necessary to make such comparisons.</w:t>
            </w:r>
            <w:r>
              <w:rPr>
                <w:sz w:val="22"/>
                <w:szCs w:val="22"/>
                <w:vertAlign w:val="superscript"/>
              </w:rPr>
              <w:footnoteReference w:id="1"/>
            </w:r>
            <w:r>
              <w:rPr>
                <w:sz w:val="22"/>
                <w:szCs w:val="22"/>
              </w:rPr>
              <w:t xml:space="preserve"> A strengths-based social and emotional competency measure should be used for formative purposes, to inform adjustments to SEL instruction and improve effectiveness.</w:t>
            </w:r>
          </w:p>
        </w:tc>
      </w:tr>
    </w:tbl>
    <w:p w14:paraId="2A9F3408" w14:textId="77777777" w:rsidR="008E22ED" w:rsidRDefault="008E22ED">
      <w:pPr>
        <w:rPr>
          <w:b/>
          <w:color w:val="2779BF"/>
          <w:sz w:val="22"/>
          <w:szCs w:val="22"/>
        </w:rPr>
      </w:pPr>
    </w:p>
    <w:p w14:paraId="389BEE46" w14:textId="77777777" w:rsidR="008E22ED" w:rsidRDefault="008E22ED">
      <w:pPr>
        <w:rPr>
          <w:b/>
          <w:color w:val="2779BF"/>
          <w:sz w:val="22"/>
          <w:szCs w:val="22"/>
          <w:u w:val="single"/>
        </w:rPr>
      </w:pPr>
    </w:p>
    <w:p w14:paraId="3C165479" w14:textId="77777777" w:rsidR="00740B20" w:rsidRDefault="00740B20">
      <w:pPr>
        <w:rPr>
          <w:b/>
          <w:color w:val="2779BF"/>
          <w:sz w:val="22"/>
          <w:szCs w:val="22"/>
          <w:u w:val="single"/>
        </w:rPr>
      </w:pPr>
    </w:p>
    <w:p w14:paraId="6368B038" w14:textId="77777777" w:rsidR="00740B20" w:rsidRDefault="00740B20">
      <w:pPr>
        <w:rPr>
          <w:b/>
          <w:color w:val="2779BF"/>
          <w:sz w:val="22"/>
          <w:szCs w:val="22"/>
          <w:u w:val="single"/>
        </w:rPr>
      </w:pPr>
    </w:p>
    <w:p w14:paraId="5110C553" w14:textId="77777777" w:rsidR="008E22ED" w:rsidRDefault="00000000">
      <w:pPr>
        <w:rPr>
          <w:b/>
          <w:color w:val="2779BF"/>
          <w:sz w:val="28"/>
          <w:szCs w:val="28"/>
          <w:u w:val="single"/>
        </w:rPr>
      </w:pPr>
      <w:r>
        <w:rPr>
          <w:b/>
          <w:color w:val="2779BF"/>
          <w:sz w:val="28"/>
          <w:szCs w:val="28"/>
          <w:u w:val="single"/>
        </w:rPr>
        <w:lastRenderedPageBreak/>
        <w:t xml:space="preserve">Second, narrow your assessment search: </w:t>
      </w:r>
    </w:p>
    <w:p w14:paraId="0B6EEF73" w14:textId="77777777" w:rsidR="008E22ED" w:rsidRDefault="008E22ED">
      <w:pPr>
        <w:rPr>
          <w:sz w:val="22"/>
          <w:szCs w:val="22"/>
        </w:rPr>
      </w:pPr>
    </w:p>
    <w:p w14:paraId="39E4D0A4" w14:textId="77777777" w:rsidR="008E22ED" w:rsidRDefault="00000000">
      <w:pPr>
        <w:rPr>
          <w:sz w:val="22"/>
          <w:szCs w:val="22"/>
        </w:rPr>
      </w:pPr>
      <w:r>
        <w:rPr>
          <w:sz w:val="22"/>
          <w:szCs w:val="22"/>
        </w:rPr>
        <w:t xml:space="preserve">There are many high-quality social and emotional competency assessment tools available. We recommend reviewing </w:t>
      </w:r>
      <w:proofErr w:type="spellStart"/>
      <w:r>
        <w:rPr>
          <w:sz w:val="22"/>
          <w:szCs w:val="22"/>
        </w:rPr>
        <w:t>EdTrust’s</w:t>
      </w:r>
      <w:proofErr w:type="spellEnd"/>
      <w:r>
        <w:rPr>
          <w:sz w:val="22"/>
          <w:szCs w:val="22"/>
        </w:rPr>
        <w:t xml:space="preserve"> resource </w:t>
      </w:r>
      <w:hyperlink r:id="rId9">
        <w:r>
          <w:rPr>
            <w:color w:val="1155CC"/>
            <w:sz w:val="22"/>
            <w:szCs w:val="22"/>
            <w:u w:val="single"/>
          </w:rPr>
          <w:t>Social, Emotional, and Academic Development (SEAD) Assessments: A Framework for State and District Leaders</w:t>
        </w:r>
      </w:hyperlink>
      <w:r>
        <w:rPr>
          <w:sz w:val="22"/>
          <w:szCs w:val="22"/>
          <w:vertAlign w:val="superscript"/>
        </w:rPr>
        <w:footnoteReference w:id="2"/>
      </w:r>
      <w:r>
        <w:rPr>
          <w:sz w:val="22"/>
          <w:szCs w:val="22"/>
        </w:rPr>
        <w:t xml:space="preserve"> as you begin your search. This guide offers considerations and steps to determine whether an assessment fits your local context and purpose and profiles 11 commonly used SEAD assessments, most of which are open source.  </w:t>
      </w:r>
    </w:p>
    <w:p w14:paraId="1A24F075" w14:textId="77777777" w:rsidR="008E22ED" w:rsidRDefault="008E22ED">
      <w:pPr>
        <w:rPr>
          <w:sz w:val="22"/>
          <w:szCs w:val="22"/>
        </w:rPr>
      </w:pPr>
    </w:p>
    <w:p w14:paraId="162979EB" w14:textId="77777777" w:rsidR="008E22ED" w:rsidRDefault="00000000">
      <w:pPr>
        <w:rPr>
          <w:sz w:val="22"/>
          <w:szCs w:val="22"/>
        </w:rPr>
      </w:pPr>
      <w:r>
        <w:rPr>
          <w:sz w:val="22"/>
          <w:szCs w:val="22"/>
        </w:rPr>
        <w:t xml:space="preserve">If you are reviewing assessments that are not profiled in </w:t>
      </w:r>
      <w:proofErr w:type="spellStart"/>
      <w:r>
        <w:rPr>
          <w:sz w:val="22"/>
          <w:szCs w:val="22"/>
        </w:rPr>
        <w:t>EdTrust’s</w:t>
      </w:r>
      <w:proofErr w:type="spellEnd"/>
      <w:r>
        <w:rPr>
          <w:sz w:val="22"/>
          <w:szCs w:val="22"/>
        </w:rPr>
        <w:t xml:space="preserve"> guide, here are a few key questions to research to make a strong choice:</w:t>
      </w:r>
    </w:p>
    <w:p w14:paraId="5036F5CD" w14:textId="77777777" w:rsidR="008E22ED" w:rsidRDefault="008E22ED">
      <w:pPr>
        <w:rPr>
          <w:color w:val="000000"/>
        </w:rPr>
      </w:pPr>
    </w:p>
    <w:p w14:paraId="6780939C" w14:textId="77777777" w:rsidR="008E22ED" w:rsidRDefault="00000000">
      <w:pPr>
        <w:numPr>
          <w:ilvl w:val="0"/>
          <w:numId w:val="4"/>
        </w:numPr>
        <w:pBdr>
          <w:top w:val="nil"/>
          <w:left w:val="nil"/>
          <w:bottom w:val="nil"/>
          <w:right w:val="nil"/>
          <w:between w:val="nil"/>
        </w:pBdr>
        <w:rPr>
          <w:b/>
          <w:color w:val="000000"/>
        </w:rPr>
      </w:pPr>
      <w:r>
        <w:rPr>
          <w:b/>
        </w:rPr>
        <w:t>Is it valid and reliable?</w:t>
      </w:r>
    </w:p>
    <w:p w14:paraId="4AABB537" w14:textId="77777777" w:rsidR="008E22ED" w:rsidRDefault="00000000">
      <w:pPr>
        <w:ind w:left="720"/>
        <w:rPr>
          <w:sz w:val="22"/>
          <w:szCs w:val="22"/>
        </w:rPr>
      </w:pPr>
      <w:r>
        <w:rPr>
          <w:sz w:val="22"/>
          <w:szCs w:val="22"/>
        </w:rPr>
        <w:t xml:space="preserve">As you consider publicly available tools, questionnaires, or measurement products, probe into whether it has been tested for validity and reliability. </w:t>
      </w:r>
      <w:r>
        <w:rPr>
          <w:b/>
          <w:sz w:val="22"/>
          <w:szCs w:val="22"/>
        </w:rPr>
        <w:t>Valid and reliable assessments</w:t>
      </w:r>
      <w:r>
        <w:rPr>
          <w:sz w:val="22"/>
          <w:szCs w:val="22"/>
        </w:rPr>
        <w:t xml:space="preserve"> have been rigorously studied and found to produce consistent and accurate results—i.e., it measures what it claims to measure, and it measures with consistency.</w:t>
      </w:r>
    </w:p>
    <w:p w14:paraId="3853EE40" w14:textId="77777777" w:rsidR="008E22ED" w:rsidRDefault="008E22ED">
      <w:pPr>
        <w:ind w:left="720"/>
        <w:rPr>
          <w:sz w:val="22"/>
          <w:szCs w:val="22"/>
        </w:rPr>
      </w:pPr>
    </w:p>
    <w:p w14:paraId="06E7DCFA" w14:textId="77777777" w:rsidR="008E22ED" w:rsidRDefault="00000000">
      <w:pPr>
        <w:numPr>
          <w:ilvl w:val="0"/>
          <w:numId w:val="5"/>
        </w:numPr>
        <w:ind w:left="1440"/>
        <w:rPr>
          <w:sz w:val="22"/>
          <w:szCs w:val="22"/>
        </w:rPr>
      </w:pPr>
      <w:r>
        <w:rPr>
          <w:sz w:val="22"/>
          <w:szCs w:val="22"/>
        </w:rPr>
        <w:t xml:space="preserve">For example, the </w:t>
      </w:r>
      <w:hyperlink r:id="rId10">
        <w:r>
          <w:rPr>
            <w:color w:val="467886"/>
            <w:sz w:val="22"/>
            <w:szCs w:val="22"/>
            <w:u w:val="single"/>
          </w:rPr>
          <w:t>survey Washoe County School District uses</w:t>
        </w:r>
      </w:hyperlink>
      <w:r>
        <w:rPr>
          <w:sz w:val="22"/>
          <w:szCs w:val="22"/>
        </w:rPr>
        <w:t xml:space="preserve"> was created in partnership with the American Institutes for Research and was tested and adjusted over time to ensure that students understood all items as intended and found the questions simple to answer.</w:t>
      </w:r>
    </w:p>
    <w:p w14:paraId="0815207D" w14:textId="77777777" w:rsidR="008E22ED" w:rsidRDefault="008E22ED">
      <w:pPr>
        <w:pBdr>
          <w:top w:val="nil"/>
          <w:left w:val="nil"/>
          <w:bottom w:val="nil"/>
          <w:right w:val="nil"/>
          <w:between w:val="nil"/>
        </w:pBdr>
        <w:rPr>
          <w:b/>
        </w:rPr>
      </w:pPr>
    </w:p>
    <w:p w14:paraId="2D8C21B2" w14:textId="77777777" w:rsidR="008E22ED" w:rsidRDefault="00000000">
      <w:pPr>
        <w:numPr>
          <w:ilvl w:val="0"/>
          <w:numId w:val="4"/>
        </w:numPr>
        <w:pBdr>
          <w:top w:val="nil"/>
          <w:left w:val="nil"/>
          <w:bottom w:val="nil"/>
          <w:right w:val="nil"/>
          <w:between w:val="nil"/>
        </w:pBdr>
        <w:rPr>
          <w:b/>
          <w:color w:val="000000"/>
        </w:rPr>
      </w:pPr>
      <w:r>
        <w:rPr>
          <w:b/>
          <w:color w:val="000000"/>
        </w:rPr>
        <w:t>Is it strengths-based?</w:t>
      </w:r>
    </w:p>
    <w:p w14:paraId="73F56BAC" w14:textId="77777777" w:rsidR="008E22ED" w:rsidRDefault="00000000">
      <w:pPr>
        <w:pBdr>
          <w:top w:val="nil"/>
          <w:left w:val="nil"/>
          <w:bottom w:val="nil"/>
          <w:right w:val="nil"/>
          <w:between w:val="nil"/>
        </w:pBdr>
        <w:ind w:left="720"/>
        <w:rPr>
          <w:color w:val="000000"/>
          <w:sz w:val="22"/>
          <w:szCs w:val="22"/>
        </w:rPr>
      </w:pPr>
      <w:r>
        <w:rPr>
          <w:color w:val="000000"/>
          <w:sz w:val="22"/>
          <w:szCs w:val="22"/>
        </w:rPr>
        <w:t xml:space="preserve">A strengths-based approach to </w:t>
      </w:r>
      <w:r>
        <w:rPr>
          <w:sz w:val="22"/>
          <w:szCs w:val="22"/>
        </w:rPr>
        <w:t xml:space="preserve">social and emotional </w:t>
      </w:r>
      <w:r>
        <w:rPr>
          <w:color w:val="000000"/>
          <w:sz w:val="22"/>
          <w:szCs w:val="22"/>
        </w:rPr>
        <w:t>competency assessment focuses on students’ strengths and assets to promote positive development and prevent problems from emerging</w:t>
      </w:r>
      <w:r>
        <w:rPr>
          <w:b/>
          <w:color w:val="000000"/>
          <w:sz w:val="22"/>
          <w:szCs w:val="22"/>
        </w:rPr>
        <w:t xml:space="preserve">. </w:t>
      </w:r>
      <w:r>
        <w:rPr>
          <w:color w:val="000000"/>
          <w:sz w:val="22"/>
          <w:szCs w:val="22"/>
        </w:rPr>
        <w:t xml:space="preserve">SEL emphasizes promoting the development of all students’ knowledge, skills, and attitudes (i.e., competencies). A strength-based approach assumes that competencies equip students with the positive relationships and effective coping mechanisms that support healthy development and success. They also protect against problems emerging from stress and adversity and can help students thrive in their future pursuits. </w:t>
      </w:r>
    </w:p>
    <w:p w14:paraId="2930A6AA" w14:textId="77777777" w:rsidR="008E22ED" w:rsidRDefault="008E22ED">
      <w:pPr>
        <w:pBdr>
          <w:top w:val="nil"/>
          <w:left w:val="nil"/>
          <w:bottom w:val="nil"/>
          <w:right w:val="nil"/>
          <w:between w:val="nil"/>
        </w:pBdr>
        <w:rPr>
          <w:color w:val="000000"/>
          <w:sz w:val="22"/>
          <w:szCs w:val="22"/>
        </w:rPr>
      </w:pPr>
    </w:p>
    <w:p w14:paraId="4A7680EE" w14:textId="77777777" w:rsidR="008E22ED" w:rsidRDefault="00000000">
      <w:pPr>
        <w:pBdr>
          <w:top w:val="nil"/>
          <w:left w:val="nil"/>
          <w:bottom w:val="nil"/>
          <w:right w:val="nil"/>
          <w:between w:val="nil"/>
        </w:pBdr>
        <w:ind w:left="720"/>
        <w:rPr>
          <w:color w:val="000000"/>
          <w:sz w:val="22"/>
          <w:szCs w:val="22"/>
        </w:rPr>
      </w:pPr>
      <w:r>
        <w:rPr>
          <w:color w:val="000000"/>
          <w:sz w:val="22"/>
          <w:szCs w:val="22"/>
        </w:rPr>
        <w:t xml:space="preserve">CASEL strongly recommends that educators </w:t>
      </w:r>
      <w:r>
        <w:rPr>
          <w:i/>
          <w:color w:val="000000"/>
          <w:sz w:val="22"/>
          <w:szCs w:val="22"/>
        </w:rPr>
        <w:t>not</w:t>
      </w:r>
      <w:r>
        <w:rPr>
          <w:color w:val="000000"/>
          <w:sz w:val="22"/>
          <w:szCs w:val="22"/>
        </w:rPr>
        <w:t xml:space="preserve"> take a diagnostic approach that uses assessments of students’ SEL competencies to screen for deficits (e.g., behavioral or emotional problems). </w:t>
      </w:r>
      <w:r>
        <w:rPr>
          <w:sz w:val="22"/>
          <w:szCs w:val="22"/>
        </w:rPr>
        <w:t xml:space="preserve">Social and emotional </w:t>
      </w:r>
      <w:r>
        <w:rPr>
          <w:color w:val="000000"/>
          <w:sz w:val="22"/>
          <w:szCs w:val="22"/>
        </w:rPr>
        <w:t xml:space="preserve">competency assessments are not the appropriate tool for this critical function. For practitioners looking to identify students in need of additional support based on emotional or behavioral problems, we recommend using mental health </w:t>
      </w:r>
      <w:r>
        <w:rPr>
          <w:sz w:val="22"/>
          <w:szCs w:val="22"/>
        </w:rPr>
        <w:t>screeners</w:t>
      </w:r>
      <w:r>
        <w:rPr>
          <w:color w:val="000000"/>
          <w:sz w:val="22"/>
          <w:szCs w:val="22"/>
        </w:rPr>
        <w:t xml:space="preserve"> developed specifically for this purpose.</w:t>
      </w:r>
    </w:p>
    <w:p w14:paraId="3F3CF4A4" w14:textId="77777777" w:rsidR="008E22ED" w:rsidRDefault="008E22ED">
      <w:pPr>
        <w:pBdr>
          <w:top w:val="nil"/>
          <w:left w:val="nil"/>
          <w:bottom w:val="nil"/>
          <w:right w:val="nil"/>
          <w:between w:val="nil"/>
        </w:pBdr>
        <w:ind w:left="720"/>
        <w:rPr>
          <w:color w:val="000000"/>
        </w:rPr>
      </w:pPr>
    </w:p>
    <w:p w14:paraId="20820AAD" w14:textId="77777777" w:rsidR="008E22ED" w:rsidRDefault="00000000">
      <w:pPr>
        <w:numPr>
          <w:ilvl w:val="0"/>
          <w:numId w:val="4"/>
        </w:numPr>
        <w:pBdr>
          <w:top w:val="nil"/>
          <w:left w:val="nil"/>
          <w:bottom w:val="nil"/>
          <w:right w:val="nil"/>
          <w:between w:val="nil"/>
        </w:pBdr>
        <w:rPr>
          <w:b/>
          <w:color w:val="000000"/>
        </w:rPr>
      </w:pPr>
      <w:r>
        <w:rPr>
          <w:b/>
          <w:color w:val="000000"/>
        </w:rPr>
        <w:t>How has it been designed to minimize bias in results?</w:t>
      </w:r>
    </w:p>
    <w:p w14:paraId="37E0532F" w14:textId="77777777" w:rsidR="008E22ED" w:rsidRDefault="00000000">
      <w:pPr>
        <w:pBdr>
          <w:top w:val="nil"/>
          <w:left w:val="nil"/>
          <w:bottom w:val="nil"/>
          <w:right w:val="nil"/>
          <w:between w:val="nil"/>
        </w:pBdr>
        <w:ind w:left="720"/>
        <w:rPr>
          <w:color w:val="000000"/>
          <w:sz w:val="22"/>
          <w:szCs w:val="22"/>
        </w:rPr>
      </w:pPr>
      <w:r>
        <w:rPr>
          <w:color w:val="000000"/>
          <w:sz w:val="22"/>
          <w:szCs w:val="22"/>
        </w:rPr>
        <w:t xml:space="preserve">When assessing students’ </w:t>
      </w:r>
      <w:r>
        <w:rPr>
          <w:sz w:val="22"/>
          <w:szCs w:val="22"/>
        </w:rPr>
        <w:t xml:space="preserve">social and emotional </w:t>
      </w:r>
      <w:r>
        <w:rPr>
          <w:color w:val="000000"/>
          <w:sz w:val="22"/>
          <w:szCs w:val="22"/>
        </w:rPr>
        <w:t xml:space="preserve">competencies, it is important to ensure that issues of equity have been identified and attended to in the development, validation, and use of measures. The tool should be norm-referenced with a representative sample </w:t>
      </w:r>
      <w:r>
        <w:rPr>
          <w:color w:val="000000"/>
          <w:sz w:val="22"/>
          <w:szCs w:val="22"/>
        </w:rPr>
        <w:lastRenderedPageBreak/>
        <w:t xml:space="preserve">that is inclusive of the demographics of the students you are assessing. If an assessment consists of items or tasks that are heavily influenced by values of a dominant culture but may not be shared by other cultures, the results of the assessment may fail to capture strengths and perspectives of students from all cultures. It is also important for schools and districts to guard against the presence of </w:t>
      </w:r>
      <w:hyperlink r:id="rId11">
        <w:r>
          <w:rPr>
            <w:color w:val="1155CC"/>
            <w:sz w:val="22"/>
            <w:szCs w:val="22"/>
            <w:u w:val="single"/>
          </w:rPr>
          <w:t>unconscious bias (a.k.a. implicit bias) in assessment, especially when using teacher or adult rating of students</w:t>
        </w:r>
      </w:hyperlink>
      <w:r>
        <w:rPr>
          <w:color w:val="000000"/>
          <w:sz w:val="22"/>
          <w:szCs w:val="22"/>
        </w:rPr>
        <w:t xml:space="preserve">. Research indicates that unconsciously held differences in expectations of students of differing races can lead to inaccuracies in teachers’ evaluation of students’ abilities or performance, as well as unintended differences in how instruction is delivered. </w:t>
      </w:r>
    </w:p>
    <w:p w14:paraId="33E3FEBA" w14:textId="77777777" w:rsidR="008E22ED" w:rsidRDefault="008E22ED">
      <w:pPr>
        <w:pBdr>
          <w:top w:val="nil"/>
          <w:left w:val="nil"/>
          <w:bottom w:val="nil"/>
          <w:right w:val="nil"/>
          <w:between w:val="nil"/>
        </w:pBdr>
        <w:ind w:left="720"/>
        <w:rPr>
          <w:b/>
          <w:color w:val="000000"/>
          <w:sz w:val="28"/>
          <w:szCs w:val="28"/>
        </w:rPr>
      </w:pPr>
    </w:p>
    <w:p w14:paraId="4CAFF871" w14:textId="77777777" w:rsidR="008E22ED" w:rsidRDefault="00000000">
      <w:pPr>
        <w:numPr>
          <w:ilvl w:val="0"/>
          <w:numId w:val="4"/>
        </w:numPr>
        <w:pBdr>
          <w:top w:val="nil"/>
          <w:left w:val="nil"/>
          <w:bottom w:val="nil"/>
          <w:right w:val="nil"/>
          <w:between w:val="nil"/>
        </w:pBdr>
        <w:rPr>
          <w:b/>
          <w:color w:val="000000"/>
        </w:rPr>
      </w:pPr>
      <w:r>
        <w:rPr>
          <w:b/>
          <w:color w:val="000000"/>
        </w:rPr>
        <w:t xml:space="preserve">What </w:t>
      </w:r>
      <w:r>
        <w:rPr>
          <w:b/>
        </w:rPr>
        <w:t xml:space="preserve">do you hope to </w:t>
      </w:r>
      <w:r>
        <w:rPr>
          <w:b/>
          <w:color w:val="000000"/>
        </w:rPr>
        <w:t xml:space="preserve">learn about the impact of your SEL efforts? </w:t>
      </w:r>
    </w:p>
    <w:p w14:paraId="15DADCD9" w14:textId="77777777" w:rsidR="008E22ED" w:rsidRDefault="00000000">
      <w:pPr>
        <w:pBdr>
          <w:top w:val="nil"/>
          <w:left w:val="nil"/>
          <w:bottom w:val="nil"/>
          <w:right w:val="nil"/>
          <w:between w:val="nil"/>
        </w:pBdr>
        <w:ind w:left="720"/>
        <w:rPr>
          <w:color w:val="000000"/>
          <w:sz w:val="22"/>
          <w:szCs w:val="22"/>
        </w:rPr>
      </w:pPr>
      <w:r>
        <w:rPr>
          <w:color w:val="000000"/>
          <w:sz w:val="22"/>
          <w:szCs w:val="22"/>
        </w:rPr>
        <w:t xml:space="preserve">The variety of </w:t>
      </w:r>
      <w:r>
        <w:rPr>
          <w:sz w:val="22"/>
          <w:szCs w:val="22"/>
        </w:rPr>
        <w:t xml:space="preserve">social and emotional competency </w:t>
      </w:r>
      <w:r>
        <w:rPr>
          <w:color w:val="000000"/>
          <w:sz w:val="22"/>
          <w:szCs w:val="22"/>
        </w:rPr>
        <w:t xml:space="preserve">measurement tools available focus on many different skills and mindsets and connect to different SEL frameworks. Look first to your </w:t>
      </w:r>
      <w:hyperlink r:id="rId12">
        <w:r>
          <w:rPr>
            <w:color w:val="467886"/>
            <w:sz w:val="22"/>
            <w:szCs w:val="22"/>
            <w:u w:val="single"/>
          </w:rPr>
          <w:t>SEL vision, goals, and action plan</w:t>
        </w:r>
      </w:hyperlink>
      <w:r>
        <w:rPr>
          <w:sz w:val="22"/>
          <w:szCs w:val="22"/>
        </w:rPr>
        <w:t>—</w:t>
      </w:r>
      <w:r>
        <w:rPr>
          <w:color w:val="000000"/>
          <w:sz w:val="22"/>
          <w:szCs w:val="22"/>
        </w:rPr>
        <w:t>which skills, experiences, or attitudes are you most focused on? Since you’ll use data from the assessment to measure progress toward your goals, you will be able to narrow down your assessment options significantly by starting with a few clear goals and research questions. Will the data it generates answer your questions and help you learn from the experience of implementation?</w:t>
      </w:r>
    </w:p>
    <w:p w14:paraId="0857237D" w14:textId="77777777" w:rsidR="008E22ED" w:rsidRDefault="008E22ED">
      <w:pPr>
        <w:pBdr>
          <w:top w:val="nil"/>
          <w:left w:val="nil"/>
          <w:bottom w:val="nil"/>
          <w:right w:val="nil"/>
          <w:between w:val="nil"/>
        </w:pBdr>
        <w:ind w:left="720"/>
        <w:rPr>
          <w:color w:val="000000"/>
          <w:sz w:val="20"/>
          <w:szCs w:val="20"/>
        </w:rPr>
      </w:pPr>
    </w:p>
    <w:p w14:paraId="11F91DCC" w14:textId="77777777" w:rsidR="008E22ED" w:rsidRDefault="00000000">
      <w:pPr>
        <w:numPr>
          <w:ilvl w:val="0"/>
          <w:numId w:val="4"/>
        </w:numPr>
        <w:pBdr>
          <w:top w:val="nil"/>
          <w:left w:val="nil"/>
          <w:bottom w:val="nil"/>
          <w:right w:val="nil"/>
          <w:between w:val="nil"/>
        </w:pBdr>
        <w:rPr>
          <w:b/>
          <w:color w:val="000000"/>
        </w:rPr>
      </w:pPr>
      <w:r>
        <w:rPr>
          <w:b/>
          <w:color w:val="000000"/>
        </w:rPr>
        <w:t xml:space="preserve">Is it developmentally </w:t>
      </w:r>
      <w:proofErr w:type="gramStart"/>
      <w:r>
        <w:rPr>
          <w:b/>
          <w:color w:val="000000"/>
        </w:rPr>
        <w:t>appropriate</w:t>
      </w:r>
      <w:proofErr w:type="gramEnd"/>
      <w:r>
        <w:rPr>
          <w:b/>
          <w:color w:val="000000"/>
        </w:rPr>
        <w:t xml:space="preserve"> for the student group you want to learn about?</w:t>
      </w:r>
    </w:p>
    <w:p w14:paraId="1CF8D51B" w14:textId="77777777" w:rsidR="008E22ED" w:rsidRDefault="00000000">
      <w:pPr>
        <w:pBdr>
          <w:top w:val="nil"/>
          <w:left w:val="nil"/>
          <w:bottom w:val="nil"/>
          <w:right w:val="nil"/>
          <w:between w:val="nil"/>
        </w:pBdr>
        <w:ind w:left="720"/>
        <w:rPr>
          <w:color w:val="000000"/>
          <w:sz w:val="22"/>
          <w:szCs w:val="22"/>
        </w:rPr>
      </w:pPr>
      <w:r>
        <w:rPr>
          <w:color w:val="000000"/>
          <w:sz w:val="22"/>
          <w:szCs w:val="22"/>
        </w:rPr>
        <w:t xml:space="preserve">As with all learning processes, SEL is inherently developmental. Students’ </w:t>
      </w:r>
      <w:r>
        <w:rPr>
          <w:sz w:val="22"/>
          <w:szCs w:val="22"/>
        </w:rPr>
        <w:t xml:space="preserve">social and emotional </w:t>
      </w:r>
      <w:r>
        <w:rPr>
          <w:color w:val="000000"/>
          <w:sz w:val="22"/>
          <w:szCs w:val="22"/>
        </w:rPr>
        <w:t>competenc</w:t>
      </w:r>
      <w:r>
        <w:rPr>
          <w:sz w:val="22"/>
          <w:szCs w:val="22"/>
        </w:rPr>
        <w:t>ies</w:t>
      </w:r>
      <w:r>
        <w:rPr>
          <w:color w:val="000000"/>
          <w:sz w:val="22"/>
          <w:szCs w:val="22"/>
        </w:rPr>
        <w:t xml:space="preserve"> develop over time, and the measures and methods used for assessing those competencies should reflect this.</w:t>
      </w:r>
      <w:r>
        <w:rPr>
          <w:color w:val="000000"/>
          <w:sz w:val="22"/>
          <w:szCs w:val="22"/>
          <w:vertAlign w:val="superscript"/>
        </w:rPr>
        <w:footnoteReference w:id="3"/>
      </w:r>
      <w:r>
        <w:rPr>
          <w:color w:val="000000"/>
          <w:sz w:val="22"/>
          <w:szCs w:val="22"/>
        </w:rPr>
        <w:t xml:space="preserve"> Children’s developmental levels have important implications for assessing their </w:t>
      </w:r>
      <w:r>
        <w:rPr>
          <w:sz w:val="22"/>
          <w:szCs w:val="22"/>
        </w:rPr>
        <w:t xml:space="preserve">social and emotional </w:t>
      </w:r>
      <w:r>
        <w:rPr>
          <w:color w:val="000000"/>
          <w:sz w:val="22"/>
          <w:szCs w:val="22"/>
        </w:rPr>
        <w:t xml:space="preserve">competencies, informing both the mode of assessment (e.g., self-report, peer-rating, teacher/adult-rating) and the competencies that may be most important to assess. For example, the age and developmental level of a child can influence the precision and reliability of a self-report measure of SEL competence. Younger children have less ability to accurately self-evaluate </w:t>
      </w:r>
      <w:r>
        <w:rPr>
          <w:sz w:val="22"/>
          <w:szCs w:val="22"/>
        </w:rPr>
        <w:t xml:space="preserve">than </w:t>
      </w:r>
      <w:r>
        <w:rPr>
          <w:color w:val="000000"/>
          <w:sz w:val="22"/>
          <w:szCs w:val="22"/>
        </w:rPr>
        <w:t>their older counterparts. Thus, many measures of early elementary-aged (e.g., PreK-3rd grade) children rely on ratings or observations conducted by adults (e.g., teacher, counselor, and/or parent).</w:t>
      </w:r>
    </w:p>
    <w:p w14:paraId="111436EA" w14:textId="77777777" w:rsidR="008E22ED" w:rsidRDefault="008E22ED">
      <w:pPr>
        <w:rPr>
          <w:color w:val="000000"/>
          <w:sz w:val="22"/>
          <w:szCs w:val="22"/>
        </w:rPr>
      </w:pPr>
    </w:p>
    <w:p w14:paraId="4F8B7B22" w14:textId="77777777" w:rsidR="008E22ED" w:rsidRDefault="008E22ED">
      <w:pPr>
        <w:rPr>
          <w:color w:val="0000FF"/>
          <w:sz w:val="28"/>
          <w:szCs w:val="28"/>
          <w:u w:val="single"/>
        </w:rPr>
      </w:pPr>
    </w:p>
    <w:p w14:paraId="34FFB62C" w14:textId="77777777" w:rsidR="008E22ED" w:rsidRDefault="00000000">
      <w:pPr>
        <w:rPr>
          <w:b/>
          <w:color w:val="2779BF"/>
          <w:sz w:val="28"/>
          <w:szCs w:val="28"/>
          <w:u w:val="single"/>
        </w:rPr>
      </w:pPr>
      <w:r>
        <w:rPr>
          <w:b/>
          <w:color w:val="2779BF"/>
          <w:sz w:val="28"/>
          <w:szCs w:val="28"/>
          <w:u w:val="single"/>
        </w:rPr>
        <w:t xml:space="preserve">Third, plan for proper use of the data that will be collected through this assessment effort. </w:t>
      </w:r>
    </w:p>
    <w:p w14:paraId="50FC8243" w14:textId="77777777" w:rsidR="008E22ED" w:rsidRDefault="008E22ED">
      <w:pPr>
        <w:rPr>
          <w:b/>
          <w:color w:val="000000"/>
          <w:sz w:val="22"/>
          <w:szCs w:val="22"/>
        </w:rPr>
      </w:pPr>
    </w:p>
    <w:p w14:paraId="021E1ABC" w14:textId="77777777" w:rsidR="008E22ED" w:rsidRDefault="00000000">
      <w:pPr>
        <w:rPr>
          <w:b/>
          <w:color w:val="000000"/>
          <w:sz w:val="22"/>
          <w:szCs w:val="22"/>
        </w:rPr>
      </w:pPr>
      <w:r>
        <w:rPr>
          <w:color w:val="000000"/>
          <w:sz w:val="22"/>
          <w:szCs w:val="22"/>
        </w:rPr>
        <w:t xml:space="preserve">Once we collect data through an assessment tool, we have the opportunity and responsibility to make it actionable by unpacking, questioning, analyzing, and interpreting the data. </w:t>
      </w:r>
      <w:r>
        <w:rPr>
          <w:b/>
          <w:color w:val="000000"/>
          <w:sz w:val="22"/>
          <w:szCs w:val="22"/>
        </w:rPr>
        <w:t>But first, key decisions need to be made about how the data will be presented and shared and who will have access to what level of data:</w:t>
      </w:r>
    </w:p>
    <w:p w14:paraId="57F46255" w14:textId="77777777" w:rsidR="008E22ED" w:rsidRDefault="008E22ED">
      <w:pPr>
        <w:rPr>
          <w:color w:val="000000"/>
          <w:sz w:val="22"/>
          <w:szCs w:val="22"/>
        </w:rPr>
      </w:pPr>
    </w:p>
    <w:p w14:paraId="556D2E06" w14:textId="77777777" w:rsidR="008E22ED" w:rsidRDefault="00000000">
      <w:pPr>
        <w:numPr>
          <w:ilvl w:val="0"/>
          <w:numId w:val="3"/>
        </w:numPr>
      </w:pPr>
      <w:r>
        <w:rPr>
          <w:color w:val="000000"/>
          <w:sz w:val="22"/>
          <w:szCs w:val="22"/>
        </w:rPr>
        <w:lastRenderedPageBreak/>
        <w:t xml:space="preserve">What will the data reports </w:t>
      </w:r>
      <w:proofErr w:type="gramStart"/>
      <w:r>
        <w:rPr>
          <w:color w:val="000000"/>
          <w:sz w:val="22"/>
          <w:szCs w:val="22"/>
        </w:rPr>
        <w:t>compiled</w:t>
      </w:r>
      <w:proofErr w:type="gramEnd"/>
      <w:r>
        <w:rPr>
          <w:color w:val="000000"/>
          <w:sz w:val="22"/>
          <w:szCs w:val="22"/>
        </w:rPr>
        <w:t xml:space="preserve"> from this assessment look like? What will we be able to glean from the data collected?</w:t>
      </w:r>
    </w:p>
    <w:p w14:paraId="588B702C" w14:textId="77777777" w:rsidR="008E22ED" w:rsidRDefault="008E22ED">
      <w:pPr>
        <w:rPr>
          <w:color w:val="000000"/>
          <w:sz w:val="22"/>
          <w:szCs w:val="22"/>
        </w:rPr>
      </w:pPr>
    </w:p>
    <w:p w14:paraId="785B3993" w14:textId="77777777" w:rsidR="008E22ED" w:rsidRDefault="00000000">
      <w:pPr>
        <w:numPr>
          <w:ilvl w:val="0"/>
          <w:numId w:val="3"/>
        </w:numPr>
      </w:pPr>
      <w:r>
        <w:rPr>
          <w:color w:val="000000"/>
          <w:sz w:val="22"/>
          <w:szCs w:val="22"/>
        </w:rPr>
        <w:t>Who will have access to data from this assessment?</w:t>
      </w:r>
    </w:p>
    <w:p w14:paraId="5EBCA454" w14:textId="77777777" w:rsidR="008E22ED" w:rsidRDefault="008E22ED">
      <w:pPr>
        <w:rPr>
          <w:color w:val="000000"/>
          <w:sz w:val="22"/>
          <w:szCs w:val="22"/>
        </w:rPr>
      </w:pPr>
    </w:p>
    <w:p w14:paraId="05F901F6" w14:textId="77777777" w:rsidR="008E22ED" w:rsidRDefault="00000000">
      <w:pPr>
        <w:numPr>
          <w:ilvl w:val="0"/>
          <w:numId w:val="3"/>
        </w:numPr>
      </w:pPr>
      <w:r>
        <w:rPr>
          <w:color w:val="000000"/>
          <w:sz w:val="22"/>
          <w:szCs w:val="22"/>
        </w:rPr>
        <w:t>How will we guide our data reflection conversations to reflect a strengths-based, learning orientation?</w:t>
      </w:r>
    </w:p>
    <w:p w14:paraId="3CCCECDF" w14:textId="77777777" w:rsidR="008E22ED" w:rsidRDefault="008E22ED">
      <w:pPr>
        <w:rPr>
          <w:color w:val="000000"/>
          <w:sz w:val="22"/>
          <w:szCs w:val="22"/>
        </w:rPr>
      </w:pPr>
    </w:p>
    <w:p w14:paraId="1CA7EAD3" w14:textId="77777777" w:rsidR="008E22ED" w:rsidRDefault="00000000">
      <w:pPr>
        <w:widowControl w:val="0"/>
        <w:rPr>
          <w:color w:val="000000"/>
          <w:sz w:val="22"/>
          <w:szCs w:val="22"/>
        </w:rPr>
      </w:pPr>
      <w:r>
        <w:rPr>
          <w:b/>
          <w:color w:val="000000"/>
          <w:sz w:val="22"/>
          <w:szCs w:val="22"/>
        </w:rPr>
        <w:t xml:space="preserve">For </w:t>
      </w:r>
      <w:r>
        <w:rPr>
          <w:b/>
          <w:sz w:val="22"/>
          <w:szCs w:val="22"/>
        </w:rPr>
        <w:t>s</w:t>
      </w:r>
      <w:r>
        <w:rPr>
          <w:b/>
          <w:color w:val="000000"/>
          <w:sz w:val="22"/>
          <w:szCs w:val="22"/>
        </w:rPr>
        <w:t xml:space="preserve">ocial and </w:t>
      </w:r>
      <w:r>
        <w:rPr>
          <w:b/>
          <w:sz w:val="22"/>
          <w:szCs w:val="22"/>
        </w:rPr>
        <w:t>e</w:t>
      </w:r>
      <w:r>
        <w:rPr>
          <w:b/>
          <w:color w:val="000000"/>
          <w:sz w:val="22"/>
          <w:szCs w:val="22"/>
        </w:rPr>
        <w:t xml:space="preserve">motional </w:t>
      </w:r>
      <w:r>
        <w:rPr>
          <w:b/>
          <w:sz w:val="22"/>
          <w:szCs w:val="22"/>
        </w:rPr>
        <w:t>c</w:t>
      </w:r>
      <w:r>
        <w:rPr>
          <w:b/>
          <w:color w:val="000000"/>
          <w:sz w:val="22"/>
          <w:szCs w:val="22"/>
        </w:rPr>
        <w:t xml:space="preserve">ompetency </w:t>
      </w:r>
      <w:r>
        <w:rPr>
          <w:b/>
          <w:sz w:val="22"/>
          <w:szCs w:val="22"/>
        </w:rPr>
        <w:t>a</w:t>
      </w:r>
      <w:r>
        <w:rPr>
          <w:b/>
          <w:color w:val="000000"/>
          <w:sz w:val="22"/>
          <w:szCs w:val="22"/>
        </w:rPr>
        <w:t xml:space="preserve">ssessments: </w:t>
      </w:r>
      <w:r>
        <w:rPr>
          <w:color w:val="000000"/>
          <w:sz w:val="22"/>
          <w:szCs w:val="22"/>
        </w:rPr>
        <w:t xml:space="preserve">Educators have access to aggregated data (classroom, grade, school, district level) to observe trends in student needs, across the board, that inform </w:t>
      </w:r>
      <w:r>
        <w:rPr>
          <w:sz w:val="22"/>
          <w:szCs w:val="22"/>
        </w:rPr>
        <w:t xml:space="preserve">SEL </w:t>
      </w:r>
      <w:r>
        <w:rPr>
          <w:color w:val="000000"/>
          <w:sz w:val="22"/>
          <w:szCs w:val="22"/>
        </w:rPr>
        <w:t xml:space="preserve">efforts at Tier 1. </w:t>
      </w:r>
      <w:r>
        <w:rPr>
          <w:sz w:val="22"/>
          <w:szCs w:val="22"/>
        </w:rPr>
        <w:t xml:space="preserve">You can explore CASEL’s recommended tools, process, and examples for reflecting on SEL data on the </w:t>
      </w:r>
      <w:hyperlink r:id="rId13">
        <w:r>
          <w:rPr>
            <w:color w:val="1155CC"/>
            <w:sz w:val="22"/>
            <w:szCs w:val="22"/>
            <w:u w:val="single"/>
          </w:rPr>
          <w:t>District Resource Center</w:t>
        </w:r>
      </w:hyperlink>
      <w:r>
        <w:rPr>
          <w:sz w:val="22"/>
          <w:szCs w:val="22"/>
        </w:rPr>
        <w:t>.</w:t>
      </w:r>
    </w:p>
    <w:p w14:paraId="70E862E3" w14:textId="77777777" w:rsidR="008E22ED" w:rsidRDefault="008E22ED">
      <w:pPr>
        <w:widowControl w:val="0"/>
        <w:rPr>
          <w:color w:val="000000"/>
          <w:sz w:val="22"/>
          <w:szCs w:val="22"/>
        </w:rPr>
      </w:pPr>
    </w:p>
    <w:p w14:paraId="1E268E2F" w14:textId="77777777" w:rsidR="008E22ED" w:rsidRDefault="00000000">
      <w:pPr>
        <w:widowControl w:val="0"/>
        <w:rPr>
          <w:color w:val="000000"/>
          <w:sz w:val="22"/>
          <w:szCs w:val="22"/>
        </w:rPr>
      </w:pPr>
      <w:r>
        <w:rPr>
          <w:b/>
          <w:color w:val="000000"/>
          <w:sz w:val="22"/>
          <w:szCs w:val="22"/>
        </w:rPr>
        <w:t xml:space="preserve">For </w:t>
      </w:r>
      <w:r>
        <w:rPr>
          <w:b/>
          <w:sz w:val="22"/>
          <w:szCs w:val="22"/>
        </w:rPr>
        <w:t>m</w:t>
      </w:r>
      <w:r>
        <w:rPr>
          <w:b/>
          <w:color w:val="000000"/>
          <w:sz w:val="22"/>
          <w:szCs w:val="22"/>
        </w:rPr>
        <w:t xml:space="preserve">ental </w:t>
      </w:r>
      <w:r>
        <w:rPr>
          <w:b/>
          <w:sz w:val="22"/>
          <w:szCs w:val="22"/>
        </w:rPr>
        <w:t>h</w:t>
      </w:r>
      <w:r>
        <w:rPr>
          <w:b/>
          <w:color w:val="000000"/>
          <w:sz w:val="22"/>
          <w:szCs w:val="22"/>
        </w:rPr>
        <w:t xml:space="preserve">ealth </w:t>
      </w:r>
      <w:r>
        <w:rPr>
          <w:b/>
          <w:sz w:val="22"/>
          <w:szCs w:val="22"/>
        </w:rPr>
        <w:t>s</w:t>
      </w:r>
      <w:r>
        <w:rPr>
          <w:b/>
          <w:color w:val="000000"/>
          <w:sz w:val="22"/>
          <w:szCs w:val="22"/>
        </w:rPr>
        <w:t xml:space="preserve">creeners and other </w:t>
      </w:r>
      <w:r>
        <w:rPr>
          <w:b/>
          <w:sz w:val="22"/>
          <w:szCs w:val="22"/>
        </w:rPr>
        <w:t>b</w:t>
      </w:r>
      <w:r>
        <w:rPr>
          <w:b/>
          <w:color w:val="000000"/>
          <w:sz w:val="22"/>
          <w:szCs w:val="22"/>
        </w:rPr>
        <w:t xml:space="preserve">ehavioral </w:t>
      </w:r>
      <w:r>
        <w:rPr>
          <w:b/>
          <w:sz w:val="22"/>
          <w:szCs w:val="22"/>
        </w:rPr>
        <w:t>a</w:t>
      </w:r>
      <w:r>
        <w:rPr>
          <w:b/>
          <w:color w:val="000000"/>
          <w:sz w:val="22"/>
          <w:szCs w:val="22"/>
        </w:rPr>
        <w:t xml:space="preserve">ssessment tools: </w:t>
      </w:r>
      <w:r>
        <w:rPr>
          <w:color w:val="000000"/>
          <w:sz w:val="22"/>
          <w:szCs w:val="22"/>
        </w:rPr>
        <w:t>Certified/licensed mental health professionals have access to individual</w:t>
      </w:r>
      <w:r>
        <w:rPr>
          <w:sz w:val="22"/>
          <w:szCs w:val="22"/>
        </w:rPr>
        <w:t>-</w:t>
      </w:r>
      <w:r>
        <w:rPr>
          <w:color w:val="000000"/>
          <w:sz w:val="22"/>
          <w:szCs w:val="22"/>
        </w:rPr>
        <w:t>level data to identify students at risk of developing mental and behavioral challenges and identify targeted interventions.</w:t>
      </w:r>
    </w:p>
    <w:p w14:paraId="0DC223EB" w14:textId="6BE8A61E" w:rsidR="00CC7A9A" w:rsidRDefault="00CC7A9A">
      <w:pPr>
        <w:rPr>
          <w:color w:val="000000"/>
          <w:sz w:val="22"/>
          <w:szCs w:val="22"/>
        </w:rPr>
      </w:pPr>
      <w:r>
        <w:rPr>
          <w:color w:val="000000"/>
          <w:sz w:val="22"/>
          <w:szCs w:val="22"/>
        </w:rPr>
        <w:br w:type="page"/>
      </w:r>
    </w:p>
    <w:p w14:paraId="5739AC22" w14:textId="77777777" w:rsidR="00CC7A9A" w:rsidRDefault="00CC7A9A">
      <w:pPr>
        <w:widowControl w:val="0"/>
        <w:rPr>
          <w:color w:val="000000"/>
          <w:sz w:val="22"/>
          <w:szCs w:val="22"/>
        </w:rPr>
      </w:pPr>
    </w:p>
    <w:p w14:paraId="48297452" w14:textId="77777777" w:rsidR="008E22ED" w:rsidRDefault="008E22ED">
      <w:pPr>
        <w:rPr>
          <w:color w:val="000000"/>
          <w:sz w:val="22"/>
          <w:szCs w:val="22"/>
        </w:rPr>
      </w:pPr>
    </w:p>
    <w:p w14:paraId="359EA536" w14:textId="45FEC1A4" w:rsidR="008E22ED" w:rsidRDefault="00000000">
      <w:pPr>
        <w:rPr>
          <w:b/>
          <w:color w:val="000000"/>
          <w:sz w:val="22"/>
          <w:szCs w:val="22"/>
        </w:rPr>
      </w:pPr>
      <w:bookmarkStart w:id="0" w:name="bookmark=id.bt2cdhs78mal" w:colFirst="0" w:colLast="0"/>
      <w:bookmarkEnd w:id="0"/>
      <w:r>
        <w:rPr>
          <w:b/>
          <w:color w:val="000000"/>
          <w:sz w:val="22"/>
          <w:szCs w:val="22"/>
        </w:rPr>
        <w:t xml:space="preserve">More on the distinction between </w:t>
      </w:r>
      <w:r>
        <w:rPr>
          <w:b/>
          <w:sz w:val="22"/>
          <w:szCs w:val="22"/>
        </w:rPr>
        <w:t>s</w:t>
      </w:r>
      <w:r>
        <w:rPr>
          <w:b/>
          <w:color w:val="000000"/>
          <w:sz w:val="22"/>
          <w:szCs w:val="22"/>
        </w:rPr>
        <w:t xml:space="preserve">ocial </w:t>
      </w:r>
      <w:r>
        <w:rPr>
          <w:b/>
          <w:sz w:val="22"/>
          <w:szCs w:val="22"/>
        </w:rPr>
        <w:t>and e</w:t>
      </w:r>
      <w:r>
        <w:rPr>
          <w:b/>
          <w:color w:val="000000"/>
          <w:sz w:val="22"/>
          <w:szCs w:val="22"/>
        </w:rPr>
        <w:t xml:space="preserve">motional </w:t>
      </w:r>
      <w:r>
        <w:rPr>
          <w:b/>
          <w:sz w:val="22"/>
          <w:szCs w:val="22"/>
        </w:rPr>
        <w:t>c</w:t>
      </w:r>
      <w:r>
        <w:rPr>
          <w:b/>
          <w:color w:val="000000"/>
          <w:sz w:val="22"/>
          <w:szCs w:val="22"/>
        </w:rPr>
        <w:t xml:space="preserve">ompetency </w:t>
      </w:r>
      <w:r>
        <w:rPr>
          <w:b/>
          <w:sz w:val="22"/>
          <w:szCs w:val="22"/>
        </w:rPr>
        <w:t>a</w:t>
      </w:r>
      <w:r>
        <w:rPr>
          <w:b/>
          <w:color w:val="000000"/>
          <w:sz w:val="22"/>
          <w:szCs w:val="22"/>
        </w:rPr>
        <w:t xml:space="preserve">ssessments and </w:t>
      </w:r>
      <w:r>
        <w:rPr>
          <w:b/>
          <w:sz w:val="22"/>
          <w:szCs w:val="22"/>
        </w:rPr>
        <w:t>m</w:t>
      </w:r>
      <w:r>
        <w:rPr>
          <w:b/>
          <w:color w:val="000000"/>
          <w:sz w:val="22"/>
          <w:szCs w:val="22"/>
        </w:rPr>
        <w:t xml:space="preserve">ental </w:t>
      </w:r>
      <w:r>
        <w:rPr>
          <w:b/>
          <w:sz w:val="22"/>
          <w:szCs w:val="22"/>
        </w:rPr>
        <w:t>h</w:t>
      </w:r>
      <w:r>
        <w:rPr>
          <w:b/>
          <w:color w:val="000000"/>
          <w:sz w:val="22"/>
          <w:szCs w:val="22"/>
        </w:rPr>
        <w:t xml:space="preserve">ealth </w:t>
      </w:r>
      <w:r>
        <w:rPr>
          <w:b/>
          <w:sz w:val="22"/>
          <w:szCs w:val="22"/>
        </w:rPr>
        <w:t>s</w:t>
      </w:r>
      <w:r>
        <w:rPr>
          <w:b/>
          <w:color w:val="000000"/>
          <w:sz w:val="22"/>
          <w:szCs w:val="22"/>
        </w:rPr>
        <w:t>creeners:</w:t>
      </w:r>
    </w:p>
    <w:p w14:paraId="2234E1A2" w14:textId="77777777" w:rsidR="008E22ED" w:rsidRDefault="008E22ED">
      <w:pPr>
        <w:rPr>
          <w:color w:val="000000"/>
          <w:sz w:val="22"/>
          <w:szCs w:val="22"/>
        </w:rPr>
      </w:pPr>
    </w:p>
    <w:p w14:paraId="61C0D599" w14:textId="77777777" w:rsidR="008E22ED" w:rsidRDefault="008E22ED">
      <w:pPr>
        <w:rPr>
          <w:color w:val="000000"/>
          <w:sz w:val="22"/>
          <w:szCs w:val="22"/>
        </w:rPr>
      </w:pPr>
    </w:p>
    <w:sdt>
      <w:sdtPr>
        <w:tag w:val="goog_rdk_0"/>
        <w:id w:val="1826619081"/>
        <w:lock w:val="contentLocked"/>
      </w:sdtPr>
      <w:sdtContent>
        <w:tbl>
          <w:tblPr>
            <w:tblStyle w:val="a3"/>
            <w:tblW w:w="9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4155"/>
            <w:gridCol w:w="3870"/>
          </w:tblGrid>
          <w:tr w:rsidR="008E22ED" w14:paraId="62C0A759" w14:textId="77777777">
            <w:tc>
              <w:tcPr>
                <w:tcW w:w="1740" w:type="dxa"/>
                <w:tcMar>
                  <w:top w:w="140" w:type="dxa"/>
                  <w:left w:w="140" w:type="dxa"/>
                  <w:bottom w:w="140" w:type="dxa"/>
                  <w:right w:w="140" w:type="dxa"/>
                </w:tcMar>
              </w:tcPr>
              <w:p w14:paraId="3DCF2EF1" w14:textId="77777777" w:rsidR="008E22ED" w:rsidRDefault="008E22ED">
                <w:pPr>
                  <w:widowControl w:val="0"/>
                  <w:ind w:left="720" w:hanging="360"/>
                  <w:rPr>
                    <w:color w:val="000000"/>
                    <w:sz w:val="22"/>
                    <w:szCs w:val="22"/>
                  </w:rPr>
                </w:pPr>
              </w:p>
            </w:tc>
            <w:tc>
              <w:tcPr>
                <w:tcW w:w="4155" w:type="dxa"/>
                <w:shd w:val="clear" w:color="auto" w:fill="C9DAF8"/>
                <w:tcMar>
                  <w:top w:w="140" w:type="dxa"/>
                  <w:left w:w="140" w:type="dxa"/>
                  <w:bottom w:w="140" w:type="dxa"/>
                  <w:right w:w="140" w:type="dxa"/>
                </w:tcMar>
              </w:tcPr>
              <w:p w14:paraId="50489DA7" w14:textId="77777777" w:rsidR="008E22ED" w:rsidRDefault="00000000">
                <w:pPr>
                  <w:jc w:val="center"/>
                  <w:rPr>
                    <w:b/>
                    <w:color w:val="000000"/>
                    <w:sz w:val="22"/>
                    <w:szCs w:val="22"/>
                  </w:rPr>
                </w:pPr>
                <w:r>
                  <w:rPr>
                    <w:b/>
                    <w:color w:val="000000"/>
                    <w:sz w:val="22"/>
                    <w:szCs w:val="22"/>
                  </w:rPr>
                  <w:t>Social and Emotional Competency Assessments</w:t>
                </w:r>
              </w:p>
            </w:tc>
            <w:tc>
              <w:tcPr>
                <w:tcW w:w="3870" w:type="dxa"/>
                <w:shd w:val="clear" w:color="auto" w:fill="D9D2E9"/>
                <w:tcMar>
                  <w:top w:w="140" w:type="dxa"/>
                  <w:left w:w="140" w:type="dxa"/>
                  <w:bottom w:w="140" w:type="dxa"/>
                  <w:right w:w="140" w:type="dxa"/>
                </w:tcMar>
              </w:tcPr>
              <w:p w14:paraId="0CD50229" w14:textId="77777777" w:rsidR="008E22ED" w:rsidRDefault="00000000">
                <w:pPr>
                  <w:jc w:val="center"/>
                  <w:rPr>
                    <w:b/>
                    <w:color w:val="000000"/>
                    <w:sz w:val="22"/>
                    <w:szCs w:val="22"/>
                  </w:rPr>
                </w:pPr>
                <w:r>
                  <w:rPr>
                    <w:b/>
                    <w:color w:val="000000"/>
                    <w:sz w:val="22"/>
                    <w:szCs w:val="22"/>
                  </w:rPr>
                  <w:t>Mental Health Screeners</w:t>
                </w:r>
              </w:p>
            </w:tc>
          </w:tr>
          <w:tr w:rsidR="008E22ED" w14:paraId="5DBB9693" w14:textId="77777777">
            <w:tc>
              <w:tcPr>
                <w:tcW w:w="1740" w:type="dxa"/>
                <w:tcMar>
                  <w:top w:w="140" w:type="dxa"/>
                  <w:left w:w="140" w:type="dxa"/>
                  <w:bottom w:w="140" w:type="dxa"/>
                  <w:right w:w="140" w:type="dxa"/>
                </w:tcMar>
              </w:tcPr>
              <w:p w14:paraId="13E0F3FA" w14:textId="77777777" w:rsidR="008E22ED" w:rsidRDefault="00000000">
                <w:pPr>
                  <w:widowControl w:val="0"/>
                  <w:rPr>
                    <w:b/>
                    <w:color w:val="000000"/>
                    <w:sz w:val="20"/>
                    <w:szCs w:val="20"/>
                  </w:rPr>
                </w:pPr>
                <w:r>
                  <w:rPr>
                    <w:b/>
                    <w:color w:val="000000"/>
                    <w:sz w:val="20"/>
                    <w:szCs w:val="20"/>
                  </w:rPr>
                  <w:t>What is the function of these assessments?</w:t>
                </w:r>
              </w:p>
            </w:tc>
            <w:tc>
              <w:tcPr>
                <w:tcW w:w="4155" w:type="dxa"/>
                <w:shd w:val="clear" w:color="auto" w:fill="C9DAF8"/>
                <w:tcMar>
                  <w:top w:w="140" w:type="dxa"/>
                  <w:left w:w="140" w:type="dxa"/>
                  <w:bottom w:w="140" w:type="dxa"/>
                  <w:right w:w="140" w:type="dxa"/>
                </w:tcMar>
              </w:tcPr>
              <w:p w14:paraId="37FC6DDA" w14:textId="77777777" w:rsidR="008E22ED" w:rsidRDefault="00000000">
                <w:pPr>
                  <w:widowControl w:val="0"/>
                  <w:rPr>
                    <w:color w:val="000000"/>
                    <w:sz w:val="22"/>
                    <w:szCs w:val="22"/>
                  </w:rPr>
                </w:pPr>
                <w:r>
                  <w:rPr>
                    <w:color w:val="000000"/>
                    <w:sz w:val="22"/>
                    <w:szCs w:val="22"/>
                  </w:rPr>
                  <w:t>Generate an aggregate understanding of the impact of SEL to continuously improve classroom, schoolwide, districtwide, and equity-driven SEL efforts. These tools do not have an individual use.</w:t>
                </w:r>
              </w:p>
            </w:tc>
            <w:tc>
              <w:tcPr>
                <w:tcW w:w="3870" w:type="dxa"/>
                <w:shd w:val="clear" w:color="auto" w:fill="D9D2E9"/>
                <w:tcMar>
                  <w:top w:w="140" w:type="dxa"/>
                  <w:left w:w="140" w:type="dxa"/>
                  <w:bottom w:w="140" w:type="dxa"/>
                  <w:right w:w="140" w:type="dxa"/>
                </w:tcMar>
              </w:tcPr>
              <w:p w14:paraId="6A0F083A" w14:textId="77777777" w:rsidR="008E22ED" w:rsidRDefault="00000000">
                <w:pPr>
                  <w:widowControl w:val="0"/>
                  <w:spacing w:before="160" w:line="216" w:lineRule="auto"/>
                  <w:rPr>
                    <w:color w:val="000000"/>
                    <w:sz w:val="22"/>
                    <w:szCs w:val="22"/>
                  </w:rPr>
                </w:pPr>
                <w:r>
                  <w:rPr>
                    <w:color w:val="000000"/>
                    <w:sz w:val="22"/>
                    <w:szCs w:val="22"/>
                  </w:rPr>
                  <w:t>Generate new and useful information to better serve students in interventions that prevent or mitigate mental health challenges and promote resilience.</w:t>
                </w:r>
              </w:p>
            </w:tc>
          </w:tr>
          <w:tr w:rsidR="008E22ED" w14:paraId="2F84165D" w14:textId="77777777">
            <w:tc>
              <w:tcPr>
                <w:tcW w:w="1740" w:type="dxa"/>
                <w:tcMar>
                  <w:top w:w="140" w:type="dxa"/>
                  <w:left w:w="140" w:type="dxa"/>
                  <w:bottom w:w="140" w:type="dxa"/>
                  <w:right w:w="140" w:type="dxa"/>
                </w:tcMar>
              </w:tcPr>
              <w:p w14:paraId="008C68C3" w14:textId="77777777" w:rsidR="008E22ED" w:rsidRDefault="00000000">
                <w:pPr>
                  <w:widowControl w:val="0"/>
                  <w:rPr>
                    <w:b/>
                    <w:color w:val="000000"/>
                    <w:sz w:val="20"/>
                    <w:szCs w:val="20"/>
                  </w:rPr>
                </w:pPr>
                <w:r>
                  <w:rPr>
                    <w:b/>
                    <w:color w:val="000000"/>
                    <w:sz w:val="20"/>
                    <w:szCs w:val="20"/>
                  </w:rPr>
                  <w:t>Who has access to the data collected?</w:t>
                </w:r>
              </w:p>
            </w:tc>
            <w:tc>
              <w:tcPr>
                <w:tcW w:w="4155" w:type="dxa"/>
                <w:shd w:val="clear" w:color="auto" w:fill="C9DAF8"/>
                <w:tcMar>
                  <w:top w:w="140" w:type="dxa"/>
                  <w:left w:w="140" w:type="dxa"/>
                  <w:bottom w:w="140" w:type="dxa"/>
                  <w:right w:w="140" w:type="dxa"/>
                </w:tcMar>
              </w:tcPr>
              <w:p w14:paraId="259BAEC6" w14:textId="77777777" w:rsidR="008E22ED" w:rsidRDefault="00000000">
                <w:pPr>
                  <w:widowControl w:val="0"/>
                  <w:rPr>
                    <w:color w:val="000000"/>
                    <w:sz w:val="22"/>
                    <w:szCs w:val="22"/>
                  </w:rPr>
                </w:pPr>
                <w:r>
                  <w:rPr>
                    <w:color w:val="000000"/>
                    <w:sz w:val="22"/>
                    <w:szCs w:val="22"/>
                  </w:rPr>
                  <w:t xml:space="preserve">Educators have access to aggregated data (classroom, grade, school, district level) to observe trends in student needs, across the board, that inform social and emotional learning efforts at </w:t>
                </w:r>
                <w:r>
                  <w:rPr>
                    <w:sz w:val="22"/>
                    <w:szCs w:val="22"/>
                  </w:rPr>
                  <w:t>T</w:t>
                </w:r>
                <w:r>
                  <w:rPr>
                    <w:color w:val="000000"/>
                    <w:sz w:val="22"/>
                    <w:szCs w:val="22"/>
                  </w:rPr>
                  <w:t>ier 1.</w:t>
                </w:r>
              </w:p>
              <w:p w14:paraId="608CA2AB" w14:textId="77777777" w:rsidR="008E22ED" w:rsidRDefault="008E22ED">
                <w:pPr>
                  <w:widowControl w:val="0"/>
                  <w:rPr>
                    <w:color w:val="000000"/>
                    <w:sz w:val="22"/>
                    <w:szCs w:val="22"/>
                  </w:rPr>
                </w:pPr>
              </w:p>
            </w:tc>
            <w:tc>
              <w:tcPr>
                <w:tcW w:w="3870" w:type="dxa"/>
                <w:shd w:val="clear" w:color="auto" w:fill="D9D2E9"/>
                <w:tcMar>
                  <w:top w:w="140" w:type="dxa"/>
                  <w:left w:w="140" w:type="dxa"/>
                  <w:bottom w:w="140" w:type="dxa"/>
                  <w:right w:w="140" w:type="dxa"/>
                </w:tcMar>
              </w:tcPr>
              <w:p w14:paraId="0E495D11" w14:textId="77777777" w:rsidR="008E22ED" w:rsidRDefault="00000000">
                <w:pPr>
                  <w:widowControl w:val="0"/>
                  <w:rPr>
                    <w:color w:val="000000"/>
                    <w:sz w:val="22"/>
                    <w:szCs w:val="22"/>
                  </w:rPr>
                </w:pPr>
                <w:r>
                  <w:rPr>
                    <w:color w:val="000000"/>
                    <w:sz w:val="22"/>
                    <w:szCs w:val="22"/>
                  </w:rPr>
                  <w:t>Certified/licensed mental health professionals have access to individual</w:t>
                </w:r>
                <w:r>
                  <w:rPr>
                    <w:sz w:val="22"/>
                    <w:szCs w:val="22"/>
                  </w:rPr>
                  <w:t>-</w:t>
                </w:r>
                <w:r>
                  <w:rPr>
                    <w:color w:val="000000"/>
                    <w:sz w:val="22"/>
                    <w:szCs w:val="22"/>
                  </w:rPr>
                  <w:t>level data to identify students at risk of developing mental and behavioral challenges and identify targeted interventions.</w:t>
                </w:r>
              </w:p>
            </w:tc>
          </w:tr>
          <w:tr w:rsidR="008E22ED" w14:paraId="7445E137" w14:textId="77777777">
            <w:tc>
              <w:tcPr>
                <w:tcW w:w="1740" w:type="dxa"/>
                <w:tcMar>
                  <w:top w:w="140" w:type="dxa"/>
                  <w:left w:w="140" w:type="dxa"/>
                  <w:bottom w:w="140" w:type="dxa"/>
                  <w:right w:w="140" w:type="dxa"/>
                </w:tcMar>
              </w:tcPr>
              <w:p w14:paraId="795AC8AC" w14:textId="77777777" w:rsidR="008E22ED" w:rsidRDefault="00000000">
                <w:pPr>
                  <w:widowControl w:val="0"/>
                  <w:rPr>
                    <w:b/>
                    <w:color w:val="000000"/>
                    <w:sz w:val="20"/>
                    <w:szCs w:val="20"/>
                  </w:rPr>
                </w:pPr>
                <w:r>
                  <w:rPr>
                    <w:b/>
                    <w:color w:val="000000"/>
                    <w:sz w:val="20"/>
                    <w:szCs w:val="20"/>
                  </w:rPr>
                  <w:t xml:space="preserve">What do these assessments measure or </w:t>
                </w:r>
                <w:r>
                  <w:rPr>
                    <w:b/>
                    <w:sz w:val="20"/>
                    <w:szCs w:val="20"/>
                  </w:rPr>
                  <w:t>identify</w:t>
                </w:r>
                <w:r>
                  <w:rPr>
                    <w:b/>
                    <w:color w:val="000000"/>
                    <w:sz w:val="20"/>
                    <w:szCs w:val="20"/>
                  </w:rPr>
                  <w:t>?</w:t>
                </w:r>
              </w:p>
            </w:tc>
            <w:tc>
              <w:tcPr>
                <w:tcW w:w="4155" w:type="dxa"/>
                <w:shd w:val="clear" w:color="auto" w:fill="C9DAF8"/>
                <w:tcMar>
                  <w:top w:w="140" w:type="dxa"/>
                  <w:left w:w="140" w:type="dxa"/>
                  <w:bottom w:w="140" w:type="dxa"/>
                  <w:right w:w="140" w:type="dxa"/>
                </w:tcMar>
              </w:tcPr>
              <w:p w14:paraId="2AD154FD" w14:textId="77777777" w:rsidR="008E22ED" w:rsidRDefault="00000000">
                <w:pPr>
                  <w:widowControl w:val="0"/>
                  <w:numPr>
                    <w:ilvl w:val="0"/>
                    <w:numId w:val="1"/>
                  </w:numPr>
                  <w:rPr>
                    <w:rFonts w:ascii="Calibri" w:eastAsia="Calibri" w:hAnsi="Calibri" w:cs="Calibri"/>
                    <w:sz w:val="20"/>
                    <w:szCs w:val="20"/>
                  </w:rPr>
                </w:pPr>
                <w:r>
                  <w:rPr>
                    <w:sz w:val="22"/>
                    <w:szCs w:val="22"/>
                  </w:rPr>
                  <w:t>H</w:t>
                </w:r>
                <w:r>
                  <w:rPr>
                    <w:color w:val="000000"/>
                    <w:sz w:val="22"/>
                    <w:szCs w:val="22"/>
                  </w:rPr>
                  <w:t>ow SEL implementation is impacting instruction (formative assessment)</w:t>
                </w:r>
              </w:p>
              <w:p w14:paraId="3BB633F8" w14:textId="77777777" w:rsidR="008E22ED" w:rsidRDefault="00000000">
                <w:pPr>
                  <w:widowControl w:val="0"/>
                  <w:numPr>
                    <w:ilvl w:val="0"/>
                    <w:numId w:val="1"/>
                  </w:numPr>
                  <w:rPr>
                    <w:rFonts w:ascii="Calibri" w:eastAsia="Calibri" w:hAnsi="Calibri" w:cs="Calibri"/>
                    <w:sz w:val="20"/>
                    <w:szCs w:val="20"/>
                  </w:rPr>
                </w:pPr>
                <w:r>
                  <w:rPr>
                    <w:sz w:val="22"/>
                    <w:szCs w:val="22"/>
                  </w:rPr>
                  <w:t>T</w:t>
                </w:r>
                <w:r>
                  <w:rPr>
                    <w:color w:val="000000"/>
                    <w:sz w:val="22"/>
                    <w:szCs w:val="22"/>
                  </w:rPr>
                  <w:t>he effectiveness of districtwide, schoolwide, and classroom-based SEL efforts (summative assessment)</w:t>
                </w:r>
              </w:p>
              <w:p w14:paraId="57F48490" w14:textId="77777777" w:rsidR="008E22ED" w:rsidRDefault="00000000">
                <w:pPr>
                  <w:widowControl w:val="0"/>
                  <w:numPr>
                    <w:ilvl w:val="0"/>
                    <w:numId w:val="1"/>
                  </w:numPr>
                  <w:rPr>
                    <w:rFonts w:ascii="Calibri" w:eastAsia="Calibri" w:hAnsi="Calibri" w:cs="Calibri"/>
                    <w:sz w:val="20"/>
                    <w:szCs w:val="20"/>
                  </w:rPr>
                </w:pPr>
                <w:r>
                  <w:rPr>
                    <w:sz w:val="22"/>
                    <w:szCs w:val="22"/>
                  </w:rPr>
                  <w:t>D</w:t>
                </w:r>
                <w:r>
                  <w:rPr>
                    <w:color w:val="000000"/>
                    <w:sz w:val="22"/>
                    <w:szCs w:val="22"/>
                  </w:rPr>
                  <w:t>isparities in student needs’ being met or not met by schools/districts</w:t>
                </w:r>
              </w:p>
              <w:p w14:paraId="5A8E6F7D" w14:textId="77777777" w:rsidR="008E22ED" w:rsidRDefault="00000000">
                <w:pPr>
                  <w:widowControl w:val="0"/>
                  <w:numPr>
                    <w:ilvl w:val="0"/>
                    <w:numId w:val="1"/>
                  </w:numPr>
                  <w:rPr>
                    <w:rFonts w:ascii="Calibri" w:eastAsia="Calibri" w:hAnsi="Calibri" w:cs="Calibri"/>
                    <w:sz w:val="20"/>
                    <w:szCs w:val="20"/>
                  </w:rPr>
                </w:pPr>
                <w:r>
                  <w:rPr>
                    <w:sz w:val="22"/>
                    <w:szCs w:val="22"/>
                  </w:rPr>
                  <w:t xml:space="preserve">The impact of adult </w:t>
                </w:r>
                <w:r>
                  <w:rPr>
                    <w:color w:val="000000"/>
                    <w:sz w:val="22"/>
                    <w:szCs w:val="22"/>
                  </w:rPr>
                  <w:t>professional learning, adult well-being efforts, and changes to environment</w:t>
                </w:r>
              </w:p>
            </w:tc>
            <w:tc>
              <w:tcPr>
                <w:tcW w:w="3870" w:type="dxa"/>
                <w:shd w:val="clear" w:color="auto" w:fill="D9D2E9"/>
                <w:tcMar>
                  <w:top w:w="140" w:type="dxa"/>
                  <w:left w:w="140" w:type="dxa"/>
                  <w:bottom w:w="140" w:type="dxa"/>
                  <w:right w:w="140" w:type="dxa"/>
                </w:tcMar>
              </w:tcPr>
              <w:p w14:paraId="2557ECD2" w14:textId="77777777" w:rsidR="008E22ED" w:rsidRDefault="00000000">
                <w:pPr>
                  <w:widowControl w:val="0"/>
                  <w:numPr>
                    <w:ilvl w:val="0"/>
                    <w:numId w:val="2"/>
                  </w:numPr>
                  <w:spacing w:before="160" w:line="216" w:lineRule="auto"/>
                  <w:rPr>
                    <w:rFonts w:ascii="Calibri" w:eastAsia="Calibri" w:hAnsi="Calibri" w:cs="Calibri"/>
                    <w:sz w:val="20"/>
                    <w:szCs w:val="20"/>
                  </w:rPr>
                </w:pPr>
                <w:r>
                  <w:rPr>
                    <w:sz w:val="22"/>
                    <w:szCs w:val="22"/>
                  </w:rPr>
                  <w:t>A</w:t>
                </w:r>
                <w:r>
                  <w:rPr>
                    <w:color w:val="000000"/>
                    <w:sz w:val="22"/>
                    <w:szCs w:val="22"/>
                  </w:rPr>
                  <w:t>ccess to mental health supports</w:t>
                </w:r>
              </w:p>
              <w:p w14:paraId="39250909" w14:textId="77777777" w:rsidR="008E22ED" w:rsidRDefault="00000000">
                <w:pPr>
                  <w:widowControl w:val="0"/>
                  <w:numPr>
                    <w:ilvl w:val="0"/>
                    <w:numId w:val="2"/>
                  </w:numPr>
                  <w:spacing w:line="216" w:lineRule="auto"/>
                  <w:rPr>
                    <w:rFonts w:ascii="Calibri" w:eastAsia="Calibri" w:hAnsi="Calibri" w:cs="Calibri"/>
                    <w:sz w:val="20"/>
                    <w:szCs w:val="20"/>
                  </w:rPr>
                </w:pPr>
                <w:r>
                  <w:rPr>
                    <w:sz w:val="22"/>
                    <w:szCs w:val="22"/>
                  </w:rPr>
                  <w:t>S</w:t>
                </w:r>
                <w:r>
                  <w:rPr>
                    <w:color w:val="000000"/>
                    <w:sz w:val="22"/>
                    <w:szCs w:val="22"/>
                  </w:rPr>
                  <w:t>tudents at risk for future negative outcomes o</w:t>
                </w:r>
                <w:r>
                  <w:rPr>
                    <w:sz w:val="22"/>
                    <w:szCs w:val="22"/>
                  </w:rPr>
                  <w:t>r</w:t>
                </w:r>
                <w:r>
                  <w:rPr>
                    <w:color w:val="000000"/>
                    <w:sz w:val="22"/>
                    <w:szCs w:val="22"/>
                  </w:rPr>
                  <w:t xml:space="preserve"> students who may need monitoring or intervention </w:t>
                </w:r>
              </w:p>
              <w:p w14:paraId="5CD86274" w14:textId="77777777" w:rsidR="008E22ED" w:rsidRDefault="00000000">
                <w:pPr>
                  <w:widowControl w:val="0"/>
                  <w:numPr>
                    <w:ilvl w:val="0"/>
                    <w:numId w:val="2"/>
                  </w:numPr>
                  <w:spacing w:line="216" w:lineRule="auto"/>
                  <w:rPr>
                    <w:rFonts w:ascii="Calibri" w:eastAsia="Calibri" w:hAnsi="Calibri" w:cs="Calibri"/>
                    <w:sz w:val="20"/>
                    <w:szCs w:val="20"/>
                  </w:rPr>
                </w:pPr>
                <w:r>
                  <w:rPr>
                    <w:sz w:val="22"/>
                    <w:szCs w:val="22"/>
                  </w:rPr>
                  <w:t>P</w:t>
                </w:r>
                <w:r>
                  <w:rPr>
                    <w:color w:val="000000"/>
                    <w:sz w:val="22"/>
                    <w:szCs w:val="22"/>
                  </w:rPr>
                  <w:t>ersonal strengths and wellness as well as risk factors</w:t>
                </w:r>
              </w:p>
            </w:tc>
          </w:tr>
        </w:tbl>
      </w:sdtContent>
    </w:sdt>
    <w:p w14:paraId="37DDFC75" w14:textId="77777777" w:rsidR="008E22ED" w:rsidRDefault="008E22ED">
      <w:pPr>
        <w:rPr>
          <w:b/>
        </w:rPr>
      </w:pPr>
    </w:p>
    <w:sectPr w:rsidR="008E22ED">
      <w:headerReference w:type="default" r:id="rId14"/>
      <w:foot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D99FA" w14:textId="77777777" w:rsidR="00BF3EF3" w:rsidRDefault="00BF3EF3">
      <w:r>
        <w:separator/>
      </w:r>
    </w:p>
  </w:endnote>
  <w:endnote w:type="continuationSeparator" w:id="0">
    <w:p w14:paraId="7AA05F60" w14:textId="77777777" w:rsidR="00BF3EF3" w:rsidRDefault="00BF3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6425C6C3-BD07-644C-86A7-66A8768B2D71}"/>
  </w:font>
  <w:font w:name="Times New Roman">
    <w:panose1 w:val="02020603050405020304"/>
    <w:charset w:val="00"/>
    <w:family w:val="roman"/>
    <w:pitch w:val="variable"/>
    <w:sig w:usb0="E0002EFF" w:usb1="C000785B" w:usb2="00000009" w:usb3="00000000" w:csb0="000001FF" w:csb1="00000000"/>
    <w:embedRegular r:id="rId2" w:fontKey="{5E6A94AB-403B-BE49-BC54-CB487BF04911}"/>
    <w:embedBold r:id="rId3" w:fontKey="{5524EBD9-FBE7-D543-9507-F25D3D59D4B8}"/>
    <w:embedItalic r:id="rId4" w:fontKey="{B20857ED-64FB-3E49-89D5-EAD97CA707E1}"/>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6" w:fontKey="{DE362F28-CC65-B147-975F-B0BDF0603C61}"/>
  </w:font>
  <w:font w:name="Aptos">
    <w:panose1 w:val="020B0004020202020204"/>
    <w:charset w:val="00"/>
    <w:family w:val="swiss"/>
    <w:pitch w:val="variable"/>
    <w:sig w:usb0="20000287" w:usb1="00000003" w:usb2="00000000" w:usb3="00000000" w:csb0="0000019F" w:csb1="00000000"/>
    <w:embedRegular r:id="rId7" w:fontKey="{7B16BB29-327D-4841-9C85-725E5DC96714}"/>
    <w:embedBold r:id="rId8" w:fontKey="{B96E0D7E-E764-3D46-B789-15D171A3EF78}"/>
    <w:embedItalic r:id="rId9" w:fontKey="{7072143C-901C-8E48-9103-606970C57F02}"/>
  </w:font>
  <w:font w:name="Aptos Display">
    <w:panose1 w:val="020B0004020202020204"/>
    <w:charset w:val="00"/>
    <w:family w:val="swiss"/>
    <w:pitch w:val="variable"/>
    <w:sig w:usb0="20000287" w:usb1="00000003" w:usb2="00000000" w:usb3="00000000" w:csb0="0000019F" w:csb1="00000000"/>
    <w:embedRegular r:id="rId10" w:fontKey="{996DB588-71C7-3D4C-A6A9-0D054C6BC0AA}"/>
  </w:font>
  <w:font w:name="Calibri">
    <w:panose1 w:val="020F0502020204030204"/>
    <w:charset w:val="00"/>
    <w:family w:val="swiss"/>
    <w:pitch w:val="variable"/>
    <w:sig w:usb0="E4002EFF" w:usb1="C200247B" w:usb2="00000009" w:usb3="00000000" w:csb0="000001FF" w:csb1="00000000"/>
    <w:embedRegular r:id="rId11" w:fontKey="{F0D9A362-1468-3A4A-8EEB-804172634B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D74B" w14:textId="77777777" w:rsidR="008E22ED" w:rsidRDefault="00000000">
    <w:pPr>
      <w:jc w:val="right"/>
    </w:pPr>
    <w:r>
      <w:rPr>
        <w:sz w:val="22"/>
        <w:szCs w:val="22"/>
      </w:rPr>
      <w:fldChar w:fldCharType="begin"/>
    </w:r>
    <w:r>
      <w:rPr>
        <w:sz w:val="22"/>
        <w:szCs w:val="22"/>
      </w:rPr>
      <w:instrText>PAGE</w:instrText>
    </w:r>
    <w:r>
      <w:rPr>
        <w:sz w:val="22"/>
        <w:szCs w:val="22"/>
      </w:rPr>
      <w:fldChar w:fldCharType="separate"/>
    </w:r>
    <w:r w:rsidR="00740B20">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6995A" w14:textId="77777777" w:rsidR="00BF3EF3" w:rsidRDefault="00BF3EF3">
      <w:r>
        <w:separator/>
      </w:r>
    </w:p>
  </w:footnote>
  <w:footnote w:type="continuationSeparator" w:id="0">
    <w:p w14:paraId="5B127929" w14:textId="77777777" w:rsidR="00BF3EF3" w:rsidRDefault="00BF3EF3">
      <w:r>
        <w:continuationSeparator/>
      </w:r>
    </w:p>
  </w:footnote>
  <w:footnote w:id="1">
    <w:p w14:paraId="0CD7F0C3" w14:textId="77777777" w:rsidR="008E22ED" w:rsidRDefault="00000000">
      <w:pPr>
        <w:rPr>
          <w:sz w:val="20"/>
          <w:szCs w:val="20"/>
        </w:rPr>
      </w:pPr>
      <w:r>
        <w:rPr>
          <w:rStyle w:val="FootnoteReference"/>
        </w:rPr>
        <w:footnoteRef/>
      </w:r>
      <w:r>
        <w:rPr>
          <w:sz w:val="20"/>
          <w:szCs w:val="20"/>
        </w:rPr>
        <w:t xml:space="preserve"> Melnick et al., 2017; Duckworth &amp; Yeager, 2015</w:t>
      </w:r>
    </w:p>
  </w:footnote>
  <w:footnote w:id="2">
    <w:p w14:paraId="533C1C51" w14:textId="77777777" w:rsidR="008E22ED" w:rsidRDefault="00000000">
      <w:pPr>
        <w:rPr>
          <w:sz w:val="20"/>
          <w:szCs w:val="20"/>
        </w:rPr>
      </w:pPr>
      <w:r>
        <w:rPr>
          <w:rStyle w:val="FootnoteReference"/>
        </w:rPr>
        <w:footnoteRef/>
      </w:r>
      <w:r>
        <w:rPr>
          <w:sz w:val="20"/>
          <w:szCs w:val="20"/>
        </w:rPr>
        <w:t xml:space="preserve"> Steed et al., 2024</w:t>
      </w:r>
    </w:p>
  </w:footnote>
  <w:footnote w:id="3">
    <w:p w14:paraId="44172119" w14:textId="77777777" w:rsidR="008E22ED"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Nagaoka et al.,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7761" w14:textId="67AB18F8" w:rsidR="00740B20" w:rsidRDefault="00740B20">
    <w:pPr>
      <w:pStyle w:val="Header"/>
    </w:pPr>
    <w:r>
      <w:rPr>
        <w:noProof/>
      </w:rPr>
      <w:drawing>
        <wp:inline distT="0" distB="0" distL="0" distR="0" wp14:anchorId="29E9C6B9" wp14:editId="2A719F3F">
          <wp:extent cx="1689100" cy="454428"/>
          <wp:effectExtent l="0" t="0" r="0" b="3175"/>
          <wp:docPr id="3" name="Picture 3"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sign&#10;&#10;AI-generated content may be incorrect."/>
                  <pic:cNvPicPr/>
                </pic:nvPicPr>
                <pic:blipFill>
                  <a:blip r:embed="rId1"/>
                  <a:stretch>
                    <a:fillRect/>
                  </a:stretch>
                </pic:blipFill>
                <pic:spPr>
                  <a:xfrm>
                    <a:off x="0" y="0"/>
                    <a:ext cx="1744298" cy="469278"/>
                  </a:xfrm>
                  <a:prstGeom prst="rect">
                    <a:avLst/>
                  </a:prstGeom>
                </pic:spPr>
              </pic:pic>
            </a:graphicData>
          </a:graphic>
        </wp:inline>
      </w:drawing>
    </w:r>
  </w:p>
  <w:p w14:paraId="12C8E471" w14:textId="77777777" w:rsidR="00740B20" w:rsidRDefault="00740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46F2E"/>
    <w:multiLevelType w:val="multilevel"/>
    <w:tmpl w:val="F7F07DF8"/>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 w15:restartNumberingAfterBreak="0">
    <w:nsid w:val="588D6FBA"/>
    <w:multiLevelType w:val="multilevel"/>
    <w:tmpl w:val="F3687AE4"/>
    <w:lvl w:ilvl="0">
      <w:start w:val="1"/>
      <w:numFmt w:val="decimal"/>
      <w:lvlText w:val="%1."/>
      <w:lvlJc w:val="left"/>
      <w:pPr>
        <w:ind w:left="720"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5944DC"/>
    <w:multiLevelType w:val="multilevel"/>
    <w:tmpl w:val="E79A7D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E886C64"/>
    <w:multiLevelType w:val="multilevel"/>
    <w:tmpl w:val="F8A681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EE445E8"/>
    <w:multiLevelType w:val="multilevel"/>
    <w:tmpl w:val="2C6A6ACA"/>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num w:numId="1" w16cid:durableId="443036303">
    <w:abstractNumId w:val="0"/>
  </w:num>
  <w:num w:numId="2" w16cid:durableId="1975715127">
    <w:abstractNumId w:val="4"/>
  </w:num>
  <w:num w:numId="3" w16cid:durableId="364598711">
    <w:abstractNumId w:val="2"/>
  </w:num>
  <w:num w:numId="4" w16cid:durableId="271674137">
    <w:abstractNumId w:val="1"/>
  </w:num>
  <w:num w:numId="5" w16cid:durableId="122622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2ED"/>
    <w:rsid w:val="001F4634"/>
    <w:rsid w:val="0030301C"/>
    <w:rsid w:val="00740B20"/>
    <w:rsid w:val="008E22ED"/>
    <w:rsid w:val="00BF3EF3"/>
    <w:rsid w:val="00CC7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6C03D4"/>
  <w15:docId w15:val="{62559E57-DFEB-244A-985C-5AD2DF8D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7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7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7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7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7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7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7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7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7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1077C"/>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107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7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7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7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7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77C"/>
    <w:rPr>
      <w:rFonts w:eastAsiaTheme="majorEastAsia" w:cstheme="majorBidi"/>
      <w:color w:val="272727" w:themeColor="text1" w:themeTint="D8"/>
    </w:rPr>
  </w:style>
  <w:style w:type="character" w:customStyle="1" w:styleId="TitleChar">
    <w:name w:val="Title Char"/>
    <w:basedOn w:val="DefaultParagraphFont"/>
    <w:link w:val="Title"/>
    <w:uiPriority w:val="10"/>
    <w:rsid w:val="00810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810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7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77C"/>
    <w:rPr>
      <w:i/>
      <w:iCs/>
      <w:color w:val="404040" w:themeColor="text1" w:themeTint="BF"/>
    </w:rPr>
  </w:style>
  <w:style w:type="paragraph" w:styleId="ListParagraph">
    <w:name w:val="List Paragraph"/>
    <w:basedOn w:val="Normal"/>
    <w:uiPriority w:val="34"/>
    <w:qFormat/>
    <w:rsid w:val="0081077C"/>
    <w:pPr>
      <w:ind w:left="720"/>
      <w:contextualSpacing/>
    </w:pPr>
  </w:style>
  <w:style w:type="character" w:styleId="IntenseEmphasis">
    <w:name w:val="Intense Emphasis"/>
    <w:basedOn w:val="DefaultParagraphFont"/>
    <w:uiPriority w:val="21"/>
    <w:qFormat/>
    <w:rsid w:val="0081077C"/>
    <w:rPr>
      <w:i/>
      <w:iCs/>
      <w:color w:val="0F4761" w:themeColor="accent1" w:themeShade="BF"/>
    </w:rPr>
  </w:style>
  <w:style w:type="paragraph" w:styleId="IntenseQuote">
    <w:name w:val="Intense Quote"/>
    <w:basedOn w:val="Normal"/>
    <w:next w:val="Normal"/>
    <w:link w:val="IntenseQuoteChar"/>
    <w:uiPriority w:val="30"/>
    <w:qFormat/>
    <w:rsid w:val="008107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77C"/>
    <w:rPr>
      <w:i/>
      <w:iCs/>
      <w:color w:val="0F4761" w:themeColor="accent1" w:themeShade="BF"/>
    </w:rPr>
  </w:style>
  <w:style w:type="character" w:styleId="IntenseReference">
    <w:name w:val="Intense Reference"/>
    <w:basedOn w:val="DefaultParagraphFont"/>
    <w:uiPriority w:val="32"/>
    <w:qFormat/>
    <w:rsid w:val="0081077C"/>
    <w:rPr>
      <w:b/>
      <w:bCs/>
      <w:smallCaps/>
      <w:color w:val="0F4761" w:themeColor="accent1" w:themeShade="BF"/>
      <w:spacing w:val="5"/>
    </w:rPr>
  </w:style>
  <w:style w:type="character" w:styleId="CommentReference">
    <w:name w:val="annotation reference"/>
    <w:basedOn w:val="DefaultParagraphFont"/>
    <w:uiPriority w:val="99"/>
    <w:semiHidden/>
    <w:unhideWhenUsed/>
    <w:rsid w:val="000809BD"/>
    <w:rPr>
      <w:sz w:val="16"/>
      <w:szCs w:val="16"/>
    </w:rPr>
  </w:style>
  <w:style w:type="paragraph" w:styleId="CommentText">
    <w:name w:val="annotation text"/>
    <w:basedOn w:val="Normal"/>
    <w:link w:val="CommentTextChar"/>
    <w:uiPriority w:val="99"/>
    <w:semiHidden/>
    <w:unhideWhenUsed/>
    <w:rsid w:val="000809BD"/>
    <w:rPr>
      <w:sz w:val="20"/>
      <w:szCs w:val="20"/>
    </w:rPr>
  </w:style>
  <w:style w:type="character" w:customStyle="1" w:styleId="CommentTextChar">
    <w:name w:val="Comment Text Char"/>
    <w:basedOn w:val="DefaultParagraphFont"/>
    <w:link w:val="CommentText"/>
    <w:uiPriority w:val="99"/>
    <w:semiHidden/>
    <w:rsid w:val="000809BD"/>
    <w:rPr>
      <w:sz w:val="20"/>
      <w:szCs w:val="20"/>
    </w:rPr>
  </w:style>
  <w:style w:type="paragraph" w:styleId="CommentSubject">
    <w:name w:val="annotation subject"/>
    <w:basedOn w:val="CommentText"/>
    <w:next w:val="CommentText"/>
    <w:link w:val="CommentSubjectChar"/>
    <w:uiPriority w:val="99"/>
    <w:semiHidden/>
    <w:unhideWhenUsed/>
    <w:rsid w:val="000809BD"/>
    <w:rPr>
      <w:b/>
      <w:bCs/>
    </w:rPr>
  </w:style>
  <w:style w:type="character" w:customStyle="1" w:styleId="CommentSubjectChar">
    <w:name w:val="Comment Subject Char"/>
    <w:basedOn w:val="CommentTextChar"/>
    <w:link w:val="CommentSubject"/>
    <w:uiPriority w:val="99"/>
    <w:semiHidden/>
    <w:rsid w:val="000809BD"/>
    <w:rPr>
      <w:b/>
      <w:bCs/>
      <w:sz w:val="20"/>
      <w:szCs w:val="20"/>
    </w:rPr>
  </w:style>
  <w:style w:type="character" w:styleId="Hyperlink">
    <w:name w:val="Hyperlink"/>
    <w:basedOn w:val="DefaultParagraphFont"/>
    <w:uiPriority w:val="99"/>
    <w:unhideWhenUsed/>
    <w:rsid w:val="00D97A62"/>
    <w:rPr>
      <w:color w:val="467886" w:themeColor="hyperlink"/>
      <w:u w:val="single"/>
    </w:rPr>
  </w:style>
  <w:style w:type="character" w:styleId="UnresolvedMention">
    <w:name w:val="Unresolved Mention"/>
    <w:basedOn w:val="DefaultParagraphFont"/>
    <w:uiPriority w:val="99"/>
    <w:semiHidden/>
    <w:unhideWhenUsed/>
    <w:rsid w:val="00D97A62"/>
    <w:rPr>
      <w:color w:val="605E5C"/>
      <w:shd w:val="clear" w:color="auto" w:fill="E1DFDD"/>
    </w:rPr>
  </w:style>
  <w:style w:type="table" w:styleId="TableGrid">
    <w:name w:val="Table Grid"/>
    <w:basedOn w:val="TableNormal"/>
    <w:uiPriority w:val="39"/>
    <w:rsid w:val="0014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91EF6"/>
    <w:rPr>
      <w:sz w:val="20"/>
      <w:szCs w:val="20"/>
    </w:rPr>
  </w:style>
  <w:style w:type="character" w:customStyle="1" w:styleId="FootnoteTextChar">
    <w:name w:val="Footnote Text Char"/>
    <w:basedOn w:val="DefaultParagraphFont"/>
    <w:link w:val="FootnoteText"/>
    <w:uiPriority w:val="99"/>
    <w:semiHidden/>
    <w:rsid w:val="00391EF6"/>
    <w:rPr>
      <w:sz w:val="20"/>
      <w:szCs w:val="20"/>
    </w:rPr>
  </w:style>
  <w:style w:type="character" w:styleId="FootnoteReference">
    <w:name w:val="footnote reference"/>
    <w:basedOn w:val="DefaultParagraphFont"/>
    <w:uiPriority w:val="99"/>
    <w:semiHidden/>
    <w:unhideWhenUsed/>
    <w:rsid w:val="00391EF6"/>
    <w:rPr>
      <w:vertAlign w:val="superscript"/>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40B20"/>
    <w:pPr>
      <w:tabs>
        <w:tab w:val="center" w:pos="4680"/>
        <w:tab w:val="right" w:pos="9360"/>
      </w:tabs>
    </w:pPr>
  </w:style>
  <w:style w:type="character" w:customStyle="1" w:styleId="HeaderChar">
    <w:name w:val="Header Char"/>
    <w:basedOn w:val="DefaultParagraphFont"/>
    <w:link w:val="Header"/>
    <w:uiPriority w:val="99"/>
    <w:rsid w:val="00740B20"/>
  </w:style>
  <w:style w:type="paragraph" w:styleId="Footer">
    <w:name w:val="footer"/>
    <w:basedOn w:val="Normal"/>
    <w:link w:val="FooterChar"/>
    <w:uiPriority w:val="99"/>
    <w:unhideWhenUsed/>
    <w:rsid w:val="00740B20"/>
    <w:pPr>
      <w:tabs>
        <w:tab w:val="center" w:pos="4680"/>
        <w:tab w:val="right" w:pos="9360"/>
      </w:tabs>
    </w:pPr>
  </w:style>
  <w:style w:type="character" w:customStyle="1" w:styleId="FooterChar">
    <w:name w:val="Footer Char"/>
    <w:basedOn w:val="DefaultParagraphFont"/>
    <w:link w:val="Footer"/>
    <w:uiPriority w:val="99"/>
    <w:rsid w:val="00740B20"/>
  </w:style>
  <w:style w:type="character" w:styleId="FollowedHyperlink">
    <w:name w:val="FollowedHyperlink"/>
    <w:basedOn w:val="DefaultParagraphFont"/>
    <w:uiPriority w:val="99"/>
    <w:semiHidden/>
    <w:unhideWhenUsed/>
    <w:rsid w:val="00CC7A9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asuringsel.casel.org/pdf/practitioner-guidance.pdf" TargetMode="External"/><Relationship Id="rId13" Type="http://schemas.openxmlformats.org/officeDocument/2006/relationships/hyperlink" Target="https://drc.casel.org/practice-continuous-improve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hoolguide.casel.org/focus-area-1b/overvie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topia.org/article/4-ways-fight-bias-grad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csddata.net/data-topics/sel/" TargetMode="External"/><Relationship Id="rId4" Type="http://schemas.openxmlformats.org/officeDocument/2006/relationships/settings" Target="settings.xml"/><Relationship Id="rId9" Type="http://schemas.openxmlformats.org/officeDocument/2006/relationships/hyperlink" Target="https://edtrust.org/rti/sead-assessments-a-framework-for-state-and-district-leader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QAcq8j68WJhNQUL5ZkcNHyoKw==">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1630</Words>
  <Characters>9294</Characters>
  <Application>Microsoft Office Word</Application>
  <DocSecurity>0</DocSecurity>
  <Lines>77</Lines>
  <Paragraphs>21</Paragraphs>
  <ScaleCrop>false</ScaleCrop>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Schu</dc:creator>
  <cp:lastModifiedBy>Claire Schu</cp:lastModifiedBy>
  <cp:revision>4</cp:revision>
  <dcterms:created xsi:type="dcterms:W3CDTF">2024-05-13T22:00:00Z</dcterms:created>
  <dcterms:modified xsi:type="dcterms:W3CDTF">2025-02-03T21:53:00Z</dcterms:modified>
</cp:coreProperties>
</file>